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760"/>
      </w:pPr>
      <w:r>
        <w:drawing>
          <wp:inline xmlns:a="http://schemas.openxmlformats.org/drawingml/2006/main" xmlns:pic="http://schemas.openxmlformats.org/drawingml/2006/picture">
            <wp:extent cx="2988000" cy="319716"/>
            <wp:docPr id="1" name="Picture 1" descr="Ilustrace vizuálního stylu Delegat.i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88000" cy="3197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Kicker"/>
      </w:pPr>
      <w:r>
        <w:t>JVTP / SAMOSTATNÁ PŘÍPADOVÁ STUDIE / 01</w:t>
      </w:r>
    </w:p>
    <w:p>
      <w:pPr>
        <w:pStyle w:val="Title"/>
      </w:pPr>
      <w:r>
        <w:t>SMARTIQ</w:t>
        <w:br/>
        <w:t>Případová</w:t>
        <w:br/>
        <w:t>studie</w:t>
      </w:r>
    </w:p>
    <w:p>
      <w:pPr>
        <w:pStyle w:val="Subtitle"/>
      </w:pPr>
      <w:r>
        <w:t>Energetický management a automatizace budov</w:t>
      </w:r>
    </w:p>
    <w:p>
      <w:pPr>
        <w:pStyle w:val="CoverMeta"/>
      </w:pPr>
      <w:r>
        <w:t>Od veřejné informace o provozu</w:t>
        <w:br/>
        <w:t>k rozhovoru o řízení technologií budovy.</w:t>
      </w:r>
    </w:p>
    <w:p>
      <w:pPr>
        <w:pStyle w:val="CoverMeta"/>
        <w:spacing w:after="400"/>
      </w:pPr>
      <w:r>
        <w:t>Studie využitelnosti Delegat.ing</w:t>
        <w:br/>
        <w:t>pro personalizovanou B2B akvizici.</w:t>
      </w:r>
    </w:p>
    <w:p>
      <w:pPr>
        <w:spacing w:after="200"/>
      </w:pPr>
      <w:r>
        <w:drawing>
          <wp:inline xmlns:a="http://schemas.openxmlformats.org/drawingml/2006/main" xmlns:pic="http://schemas.openxmlformats.org/drawingml/2006/picture">
            <wp:extent cx="900000" cy="1619388"/>
            <wp:docPr id="2" name="Picture 2" descr="Ilustrace vizuálního stylu Delegat.i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me-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16193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overStats"/>
      </w:pPr>
      <w:r>
        <w:t>3 profily  /  1 kampaň  /  1 modelový dopis</w:t>
      </w:r>
    </w:p>
    <w:p>
      <w:pPr>
        <w:pStyle w:val="CoverMeta"/>
      </w:pPr>
      <w:r>
        <w:t>Zpracovatel: Delegating Systems s.r.o.</w:t>
        <w:br/>
        <w:t>Verze 1.0 / samostatný dokument</w:t>
        <w:br/>
        <w:t>Podklad pro představení projektu JVTP</w:t>
      </w:r>
    </w:p>
    <w:p>
      <w:pPr>
        <w:pStyle w:val="Kicker"/>
        <w:pageBreakBefore/>
      </w:pPr>
      <w:r>
        <w:t>01 / FIRMA A ZÁKAZNÍCI</w:t>
      </w:r>
    </w:p>
    <w:p>
      <w:pPr>
        <w:pStyle w:val="Heading1"/>
      </w:pPr>
      <w:r>
        <w:t>SMARTIQ / příležitost</w:t>
      </w:r>
    </w:p>
    <w:p>
      <w:pPr>
        <w:pStyle w:val="Lead"/>
        <w:spacing w:after="160"/>
      </w:pPr>
      <w:r>
        <w:t>Jak připravit relevantní oslovení hotelů, výrobních provozů a správců nemovitostí.</w:t>
      </w:r>
    </w:p>
    <w:p>
      <w:pPr>
        <w:pStyle w:val="Heading2"/>
        <w:spacing w:before="140"/>
      </w:pPr>
      <w:r>
        <w:t>Rozsah posouzení</w:t>
      </w:r>
    </w:p>
    <w:p>
      <w:pPr>
        <w:spacing w:after="80" w:line="269" w:lineRule="auto"/>
      </w:pPr>
      <w:r>
        <w:t>Analýza vychází z veřejně prezentované nabídky firmy a popsaného modulu Outreach v Delegat.ing. Cílové profily, kampaň a přínosy jsou návrhy zpracovatele. Studie neobsahuje zákaznické rozhovory ani výsledky proběhlého pilotu; jejich ověření je navrženo v závěru.</w:t>
      </w:r>
    </w:p>
    <w:p>
      <w:pPr>
        <w:pStyle w:val="Heading2"/>
        <w:spacing w:before="140"/>
      </w:pPr>
      <w:r>
        <w:t>Doložená nabídka a navržený cíl</w:t>
      </w:r>
    </w:p>
    <w:p>
      <w:pPr>
        <w:spacing w:after="80" w:line="269" w:lineRule="auto"/>
      </w:pPr>
      <w:r>
        <w:t>SMARTIQ veřejně představuje energetický management, chytré instalace, inteligentní regulaci FVE a fotovoltaiku pro firmy. Zmiňuje použití automatizace také u komerčních nemovitostí. [1] Pro studii navrhujeme cíl získat úvodní rozhovor o vhodnosti energetického řízení konkrétního provozu.</w:t>
      </w:r>
    </w:p>
    <w:p>
      <w:pPr>
        <w:pStyle w:val="Heading2"/>
        <w:spacing w:before="140"/>
      </w:pPr>
      <w:r>
        <w:t>Tři modelové zákaznické profily</w:t>
      </w:r>
    </w:p>
    <w:p>
      <w:pPr>
        <w:pStyle w:val="StudyBullet"/>
        <w:numPr>
          <w:ilvl w:val="0"/>
          <w:numId w:val="10"/>
        </w:numPr>
      </w:pPr>
      <w:r>
        <w:t>Hotelový provoz. Veřejná prezentace potvrzuje hotel a jeho služby. Adresátem je vedení nebo provozní odpovědná osoba, pokud je doložená. Nabídka otevře téma řízení technologií budovy; skutečná spotřeba, stávající systém a vlastnictví objektu zůstávají neznámé.</w:t>
      </w:r>
    </w:p>
    <w:p>
      <w:pPr>
        <w:pStyle w:val="StudyBullet"/>
        <w:numPr>
          <w:ilvl w:val="0"/>
          <w:numId w:val="10"/>
        </w:numPr>
      </w:pPr>
      <w:r>
        <w:t>Výrobní podnik. Doložená výrobní činnost a lokalita provozu představují důvod k předběžnému výběru. Oslovení směřuje k posouzení řízení energie a případného propojení s FVE. Rozhodnutí vyžaduje informace o provozu a možnostech investice.</w:t>
      </w:r>
    </w:p>
    <w:p>
      <w:pPr>
        <w:pStyle w:val="StudyBullet"/>
        <w:numPr>
          <w:ilvl w:val="0"/>
          <w:numId w:val="10"/>
        </w:numPr>
      </w:pPr>
      <w:r>
        <w:t>Developer nebo správce komerčních objektů. Veřejně doložený projekt nebo portfolio nemovitostí umožní nabídnout rozhovor o automatizaci. Důležité je načasování a role firmy: investor, správce a generální dodavatel rozhodují o různých částech projektu.</w:t>
      </w:r>
    </w:p>
    <w:p>
      <w:pPr>
        <w:pStyle w:val="Heading2"/>
        <w:spacing w:before="140"/>
      </w:pPr>
      <w:r>
        <w:t>Navržená kampaň v Delegat.ing</w:t>
      </w:r>
    </w:p>
    <w:p>
      <w:pPr>
        <w:spacing w:after="80" w:line="269" w:lineRule="auto"/>
      </w:pPr>
      <w:r>
        <w:t>Pilot omezit na hotelové provozy v oblasti, kterou SMARTIQ skutečně obsluhuje. Zákazník schválí nabídku a kritéria výběru. Rešerše doloží charakter provozu; návrh dopisu nabídne posouzení vhodnosti řešení. Technický pracovník zkontroluje věcnou správnost a vyloučí nepodložené údaje o úspoře.</w:t>
      </w:r>
    </w:p>
    <w:p>
      <w:pPr>
        <w:pStyle w:val="Heading2"/>
        <w:spacing w:before="140"/>
      </w:pPr>
      <w:r>
        <w:t>Očekávané přínosy</w:t>
      </w:r>
    </w:p>
    <w:p>
      <w:pPr>
        <w:pStyle w:val="StudyBullet"/>
        <w:numPr>
          <w:ilvl w:val="0"/>
          <w:numId w:val="10"/>
        </w:numPr>
      </w:pPr>
      <w:r>
        <w:t>Jednotný postup pro předběžný výběr relevantních firem a evidenci důvodu oslovení.</w:t>
      </w:r>
    </w:p>
    <w:p>
      <w:pPr>
        <w:pStyle w:val="StudyBullet"/>
        <w:numPr>
          <w:ilvl w:val="0"/>
          <w:numId w:val="10"/>
        </w:numPr>
      </w:pPr>
      <w:r>
        <w:t>Odlišná argumentace pro jednotlivé typy budov místo stejného textu pro všechny.</w:t>
      </w:r>
    </w:p>
    <w:p>
      <w:pPr>
        <w:pStyle w:val="StudyBullet"/>
        <w:numPr>
          <w:ilvl w:val="0"/>
          <w:numId w:val="10"/>
        </w:numPr>
      </w:pPr>
      <w:r>
        <w:t>Příprava podkladu pro konzultaci ještě před prvním kontaktem.</w:t>
      </w:r>
    </w:p>
    <w:p>
      <w:pPr>
        <w:pStyle w:val="NoteTitle"/>
        <w:shd w:fill="F5F5F3"/>
      </w:pPr>
      <w:r>
        <w:t>Analytické posouzení</w:t>
      </w:r>
    </w:p>
    <w:p>
      <w:pPr>
        <w:pStyle w:val="NoteBody"/>
        <w:shd w:fill="F5F5F3"/>
      </w:pPr>
      <w:r>
        <w:t>Vhodné pro malý pilot zaměřený na kvalitu výběru kontaktů. Zájem a technická vhodnost konkrétního řešení se ověřují až následným rozhovorem.</w:t>
      </w:r>
    </w:p>
    <w:p>
      <w:pPr>
        <w:pStyle w:val="Source"/>
        <w:keepNext w:val="0"/>
        <w:spacing w:before="100"/>
      </w:pPr>
      <w:r>
        <w:t>Veřejný profil nabídky: SMARTIQ [1]. Profily zákazníků a kampaň jsou analytické návrhy.</w:t>
      </w:r>
    </w:p>
    <w:p>
      <w:pPr>
        <w:pStyle w:val="Kicker"/>
        <w:pageBreakBefore/>
      </w:pPr>
      <w:r>
        <w:t>02 / KONKRÉTNÍ KAMPAŇ</w:t>
      </w:r>
    </w:p>
    <w:p>
      <w:pPr>
        <w:pStyle w:val="Heading1"/>
      </w:pPr>
      <w:r>
        <w:t>SMARTIQ / kampaň</w:t>
      </w:r>
    </w:p>
    <w:p>
      <w:pPr>
        <w:pStyle w:val="Lead"/>
      </w:pPr>
      <w:r>
        <w:t>Jedna konkrétní otázka: má pro daný hotel smysl posoudit řízení technologií budovy?</w:t>
      </w:r>
    </w:p>
    <w:p>
      <w:pPr>
        <w:pStyle w:val="LetterKicker"/>
        <w:shd w:fill="F0F5FF"/>
      </w:pPr>
      <w:r>
        <w:t>MODELOVÁ UKÁZKA / HYPOTETICKÝ ADRESÁT</w:t>
      </w:r>
    </w:p>
    <w:p>
      <w:pPr>
        <w:pStyle w:val="LetterTitle"/>
        <w:shd w:fill="F0F5FF"/>
      </w:pPr>
      <w:r>
        <w:t>Řízení technologií vašeho hotelu</w:t>
      </w:r>
    </w:p>
    <w:p>
      <w:pPr>
        <w:pStyle w:val="LetterBody"/>
        <w:shd w:fill="F0F5FF"/>
      </w:pPr>
      <w:r>
        <w:t>Vážené vedení hotelu,</w:t>
      </w:r>
    </w:p>
    <w:p>
      <w:pPr>
        <w:pStyle w:val="LetterBody"/>
        <w:shd w:fill="F0F5FF"/>
      </w:pPr>
      <w:r>
        <w:t>obracíme se na vás s tématem řízení technologií hotelového provozu. Ve SMARTIQ se věnujeme automatizaci budov a energetickému managementu.</w:t>
      </w:r>
    </w:p>
    <w:p>
      <w:pPr>
        <w:pStyle w:val="LetterBody"/>
        <w:shd w:fill="F0F5FF"/>
      </w:pPr>
      <w:r>
        <w:t>U hotelu může být užitečné posoudit, jak spolupracuje vytápění, osvětlení a další technologie v různých částech provozu. Konkrétní vhodnost řešení závisí na vybavení budovy a způsobu jejího používání.</w:t>
      </w:r>
    </w:p>
    <w:p>
      <w:pPr>
        <w:pStyle w:val="LetterBody"/>
        <w:shd w:fill="F0F5FF"/>
      </w:pPr>
      <w:r>
        <w:t>Navrhujeme krátký úvodní rozhovor, ve kterém bychom si ujasnili současné řízení a případné oblasti pro další posouzení. Případný návrh bychom připravili až podle vašich podkladů.</w:t>
      </w:r>
    </w:p>
    <w:p>
      <w:pPr>
        <w:pStyle w:val="LetterBody"/>
        <w:shd w:fill="F0F5FF"/>
      </w:pPr>
      <w:r>
        <w:t>Pokud je toto téma pro váš hotel aktuální, ozvěte se nám prostřednictvím www.smartiq.cz.</w:t>
      </w:r>
    </w:p>
    <w:p>
      <w:pPr>
        <w:pStyle w:val="LetterBody"/>
        <w:shd w:fill="F0F5FF"/>
      </w:pPr>
      <w:r>
        <w:t>Tým SMARTIQ</w:t>
      </w:r>
    </w:p>
    <w:p>
      <w:pPr>
        <w:pStyle w:val="Heading2"/>
      </w:pPr>
      <w:r>
        <w:t>Proč je oslovení personalizované</w:t>
      </w:r>
    </w:p>
    <w:p>
      <w:r>
        <w:t>Text používá hotelový provoz jako doložený kontext modelového adresáta. Nabízí konkrétní rozhovor, ale nepřisuzuje hotelu vysoké účty, zastaralé vybavení ani připravenou investici.</w:t>
      </w:r>
    </w:p>
    <w:p>
      <w:pPr>
        <w:pStyle w:val="Heading2"/>
      </w:pPr>
      <w:r>
        <w:t>Omezení a nevhodné použití</w:t>
      </w:r>
    </w:p>
    <w:p>
      <w:pPr>
        <w:pStyle w:val="StudyBullet"/>
        <w:numPr>
          <w:ilvl w:val="0"/>
          <w:numId w:val="10"/>
        </w:numPr>
      </w:pPr>
      <w:r>
        <w:t>Výběr podle oboru nestačí: cílová firma může budovu pouze pronajímat nebo nemít pravomoc ke změnám.</w:t>
      </w:r>
    </w:p>
    <w:p>
      <w:pPr>
        <w:pStyle w:val="StudyBullet"/>
        <w:numPr>
          <w:ilvl w:val="0"/>
          <w:numId w:val="10"/>
        </w:numPr>
      </w:pPr>
      <w:r>
        <w:t>Výše úspor a návratnost vyžadují měření a odborné posouzení. Dopis má tyto informace teprve otevřít.</w:t>
      </w:r>
    </w:p>
    <w:p>
      <w:pPr>
        <w:pStyle w:val="StudyBullet"/>
        <w:numPr>
          <w:ilvl w:val="0"/>
          <w:numId w:val="10"/>
        </w:numPr>
      </w:pPr>
      <w:r>
        <w:t>Velká kampaň může přesáhnout obchodní nebo realizační kapacitu. Počet kontaktů musí schválit SMARTIQ.</w:t>
      </w:r>
    </w:p>
    <w:p>
      <w:pPr>
        <w:pStyle w:val="Heading2"/>
      </w:pPr>
      <w:r>
        <w:t>Co dodat a co ověřit v pilotu</w:t>
      </w:r>
    </w:p>
    <w:p>
      <w:r>
        <w:t>SMARTIQ dodá rozsah obsluhovaných lokalit, schválené technické podklady, dostupnou kapacitu a podmínky úvodní konzultace. Pilot zaznamená podíl relevantních profilů, čas kontroly dopisu, typy oprav a následně počet kvalifikovaných rozhovorů.</w:t>
      </w:r>
    </w:p>
    <w:p>
      <w:pPr>
        <w:pStyle w:val="NoteTitle"/>
        <w:shd w:fill="F5F5F3"/>
      </w:pPr>
      <w:r>
        <w:t>Rozhodnutí po první dávce</w:t>
      </w:r>
    </w:p>
    <w:p>
      <w:pPr>
        <w:pStyle w:val="NoteBody"/>
        <w:shd w:fill="F5F5F3"/>
      </w:pPr>
      <w:r>
        <w:t>Pokračovat tehdy, pokud výběr odpovídá obchodnímu zaměření a texty nevyžadují opakované technické přepisování. Při nesouladu nejprve upravit segment a znalostní bázi.</w:t>
      </w:r>
    </w:p>
    <w:p>
      <w:pPr>
        <w:pStyle w:val="Source"/>
        <w:keepNext w:val="0"/>
      </w:pPr>
      <w:r>
        <w:t>Autorská modelová ukázka; adresát je hypotetický. Text nebyl odeslán ani ověřen zákazníkem.</w:t>
      </w:r>
    </w:p>
    <w:p>
      <w:pPr>
        <w:pStyle w:val="Kicker"/>
        <w:pageBreakBefore/>
      </w:pPr>
      <w:r>
        <w:t>03 / PRAKTICKÝ POSTUP</w:t>
      </w:r>
    </w:p>
    <w:p>
      <w:pPr>
        <w:pStyle w:val="Heading1"/>
      </w:pPr>
      <w:r>
        <w:t>Od zadání</w:t>
        <w:br/>
        <w:t>ke schválenému výstupu</w:t>
      </w:r>
    </w:p>
    <w:p>
      <w:pPr>
        <w:pStyle w:val="Lead"/>
        <w:spacing w:after="160"/>
      </w:pPr>
      <w:r>
        <w:t>Jeden scénář, dohledatelné podklady a konkrétní lidská rozhodnutí.</w:t>
      </w:r>
    </w:p>
    <w:p>
      <w:pPr>
        <w:pStyle w:val="Heading2"/>
        <w:spacing w:before="140"/>
      </w:pPr>
      <w:r>
        <w:t>Co připravit předem</w:t>
      </w:r>
    </w:p>
    <w:p>
      <w:pPr>
        <w:spacing w:after="80" w:line="269" w:lineRule="auto"/>
      </w:pPr>
      <w:r>
        <w:t>Před prvním výběrem SMARTIQ vymezí obsluhované lokality, typ vhodné budovy a skutečný rozsah dodávky. Do podkladů patří schválený popis energetického řízení, použitelné reference a kapacita technické konzultace. Údaje o konkrétních úsporách se převezmou pouze z doložených podkladů a v odpovídajícím kontextu.</w:t>
      </w:r>
    </w:p>
    <w:tbl>
      <w:tblPr>
        <w:tblW w:type="dxa" w:w="9866"/>
        <w:tblLayout w:type="fixed"/>
        <w:tblLook w:firstColumn="1" w:firstRow="1" w:lastColumn="0" w:lastRow="0" w:noHBand="0" w:noVBand="1" w:val="04A0"/>
        <w:tblInd w:w="120" w:type="dxa"/>
        <w:tblCellMar>
          <w:top w:w="90" w:type="dxa"/>
          <w:bottom w:w="90" w:type="dxa"/>
          <w:start w:w="120" w:type="dxa"/>
          <w:end w:w="120" w:type="dxa"/>
        </w:tblCellMar>
        <w:tblBorders>
          <w:top w:val="nil" w:sz="4" w:color="E5E5E5"/>
          <w:left w:val="nil" w:sz="4" w:color="E5E5E5"/>
          <w:bottom w:val="single" w:sz="4" w:color="E5E5E5"/>
          <w:right w:val="nil" w:sz="4" w:color="E5E5E5"/>
          <w:insideH w:val="single" w:sz="4" w:color="E5E5E5"/>
          <w:insideV w:val="nil" w:sz="4" w:color="E5E5E5"/>
        </w:tblBorders>
      </w:tblPr>
      <w:tblGrid>
        <w:gridCol w:w="2466"/>
        <w:gridCol w:w="7400"/>
      </w:tblGrid>
      <w:tr>
        <w:trPr>
          <w:cantSplit/>
          <w:tblHeader/>
        </w:trPr>
        <w:tc>
          <w:tcPr>
            <w:tcW w:type="dxa" w:w="2466"/>
            <w:shd w:fill="E6EFFF"/>
          </w:tcPr>
          <w:p>
            <w:pPr>
              <w:pStyle w:val="TableHeader"/>
            </w:pPr>
            <w:r>
              <w:t>Krok</w:t>
            </w:r>
          </w:p>
        </w:tc>
        <w:tc>
          <w:tcPr>
            <w:tcW w:type="dxa" w:w="7400"/>
            <w:shd w:fill="E6EFFF"/>
          </w:tcPr>
          <w:p>
            <w:pPr>
              <w:pStyle w:val="TableHeader"/>
            </w:pPr>
            <w:r>
              <w:t>Výstup a rozhodnutí</w:t>
            </w:r>
          </w:p>
        </w:tc>
      </w:tr>
      <w:tr>
        <w:trPr>
          <w:cantSplit/>
        </w:trPr>
        <w:tc>
          <w:tcPr>
            <w:tcW w:type="dxa" w:w="2466"/>
            <w:shd w:fill="FFFFFF"/>
          </w:tcPr>
          <w:p>
            <w:pPr>
              <w:pStyle w:val="TableBody"/>
            </w:pPr>
            <w:r>
              <w:t>1 / Zadání nabídky</w:t>
            </w:r>
          </w:p>
        </w:tc>
        <w:tc>
          <w:tcPr>
            <w:tcW w:type="dxa" w:w="7400"/>
            <w:shd w:fill="FFFFFF"/>
          </w:tcPr>
          <w:p>
            <w:pPr>
              <w:pStyle w:val="TableBody"/>
            </w:pPr>
            <w:r>
              <w:t>Vybrat energetické řízení hotelu jako jednu nabídku. Určit, kdo může potvrdit rozsah řešení a kdo následně povede rozhovor.</w:t>
            </w:r>
          </w:p>
        </w:tc>
      </w:tr>
      <w:tr>
        <w:trPr>
          <w:cantSplit/>
        </w:trPr>
        <w:tc>
          <w:tcPr>
            <w:tcW w:type="dxa" w:w="2466"/>
            <w:shd w:fill="FAFAF9"/>
          </w:tcPr>
          <w:p>
            <w:pPr>
              <w:pStyle w:val="TableBody"/>
            </w:pPr>
            <w:r>
              <w:t>2 / Výběr kontaktů</w:t>
            </w:r>
          </w:p>
        </w:tc>
        <w:tc>
          <w:tcPr>
            <w:tcW w:type="dxa" w:w="7400"/>
            <w:shd w:fill="FAFAF9"/>
          </w:tcPr>
          <w:p>
            <w:pPr>
              <w:pStyle w:val="TableBody"/>
            </w:pPr>
            <w:r>
              <w:t>Ověřit hotelový provoz, lokalitu a doručovací adresu. Rozlišit provozovatele, vlastníka a správce; veřejná role nemusí znamenat investiční pravomoc.</w:t>
            </w:r>
          </w:p>
        </w:tc>
      </w:tr>
      <w:tr>
        <w:trPr>
          <w:cantSplit/>
        </w:trPr>
        <w:tc>
          <w:tcPr>
            <w:tcW w:type="dxa" w:w="2466"/>
            <w:shd w:fill="FFFFFF"/>
          </w:tcPr>
          <w:p>
            <w:pPr>
              <w:pStyle w:val="TableBody"/>
            </w:pPr>
            <w:r>
              <w:t>3 / Rešerše</w:t>
            </w:r>
          </w:p>
        </w:tc>
        <w:tc>
          <w:tcPr>
            <w:tcW w:type="dxa" w:w="7400"/>
            <w:shd w:fill="FFFFFF"/>
          </w:tcPr>
          <w:p>
            <w:pPr>
              <w:pStyle w:val="TableBody"/>
            </w:pPr>
            <w:r>
              <w:t>Zaznamenat zdroj potvrzující činnost hotelu. Ponechat neznámé současné řízení, spotřebu, smlouvy i plány na rekonstrukci.</w:t>
            </w:r>
          </w:p>
        </w:tc>
      </w:tr>
      <w:tr>
        <w:trPr>
          <w:cantSplit/>
        </w:trPr>
        <w:tc>
          <w:tcPr>
            <w:tcW w:type="dxa" w:w="2466"/>
            <w:shd w:fill="FAFAF9"/>
          </w:tcPr>
          <w:p>
            <w:pPr>
              <w:pStyle w:val="TableBody"/>
            </w:pPr>
            <w:r>
              <w:t>4 / Text a kontrola</w:t>
            </w:r>
          </w:p>
        </w:tc>
        <w:tc>
          <w:tcPr>
            <w:tcW w:type="dxa" w:w="7400"/>
            <w:shd w:fill="FAFAF9"/>
          </w:tcPr>
          <w:p>
            <w:pPr>
              <w:pStyle w:val="TableBody"/>
            </w:pPr>
            <w:r>
              <w:t>Propojit charakter hotelového provozu s nabídkou posouzení. Technik zkontroluje odborné výroky a obchodník vhodnost navrženého dalšího kroku.</w:t>
            </w:r>
          </w:p>
        </w:tc>
      </w:tr>
      <w:tr>
        <w:trPr>
          <w:cantSplit/>
        </w:trPr>
        <w:tc>
          <w:tcPr>
            <w:tcW w:type="dxa" w:w="2466"/>
            <w:shd w:fill="FFFFFF"/>
          </w:tcPr>
          <w:p>
            <w:pPr>
              <w:pStyle w:val="TableBody"/>
            </w:pPr>
            <w:r>
              <w:t>5 / Výstup a reakce</w:t>
            </w:r>
          </w:p>
        </w:tc>
        <w:tc>
          <w:tcPr>
            <w:tcW w:type="dxa" w:w="7400"/>
            <w:shd w:fill="FFFFFF"/>
          </w:tcPr>
          <w:p>
            <w:pPr>
              <w:pStyle w:val="TableBody"/>
            </w:pPr>
            <w:r>
              <w:t>Schválit konkrétní verzi dopisu a připravit PDF. Při pozdějším skutečném oslovení evidovat zájem o konzultaci a potvrzenou rozhodovací roli.</w:t>
            </w:r>
          </w:p>
        </w:tc>
      </w:tr>
    </w:tbl>
    <w:p>
      <w:pPr>
        <w:pStyle w:val="TableGap"/>
      </w:pPr>
    </w:p>
    <w:p>
      <w:pPr>
        <w:pStyle w:val="Heading2"/>
        <w:spacing w:before="140"/>
      </w:pPr>
      <w:r>
        <w:t>Jak se mění argument podle segmentu</w:t>
      </w:r>
    </w:p>
    <w:p>
      <w:pPr>
        <w:pStyle w:val="StudyBullet"/>
        <w:numPr>
          <w:ilvl w:val="0"/>
          <w:numId w:val="10"/>
        </w:numPr>
      </w:pPr>
      <w:r>
        <w:t>Hotel: téma spolupráce technologií v různých částech budovy; požadovaný další krok je úvodní rozhovor o současném řízení.</w:t>
      </w:r>
    </w:p>
    <w:p>
      <w:pPr>
        <w:pStyle w:val="StudyBullet"/>
        <w:numPr>
          <w:ilvl w:val="0"/>
          <w:numId w:val="10"/>
        </w:numPr>
      </w:pPr>
      <w:r>
        <w:t>Výroba: téma provozního režimu a energie; případnou vazbu na FVE uvést jen v rozsahu schválené nabídky.</w:t>
      </w:r>
    </w:p>
    <w:p>
      <w:pPr>
        <w:pStyle w:val="StudyBullet"/>
        <w:numPr>
          <w:ilvl w:val="0"/>
          <w:numId w:val="10"/>
        </w:numPr>
      </w:pPr>
      <w:r>
        <w:t>Správce nebo developer: téma konkrétního objektu či projektu; rozlišit fázi přípravy a odpovědnost adresáta.</w:t>
      </w:r>
    </w:p>
    <w:p>
      <w:pPr>
        <w:pStyle w:val="NoteTitle"/>
        <w:shd w:fill="F5F5F3"/>
      </w:pPr>
      <w:r>
        <w:t>Rozsah řešení podle interního podkladu</w:t>
      </w:r>
    </w:p>
    <w:p>
      <w:pPr>
        <w:pStyle w:val="NoteBody"/>
        <w:shd w:fill="F5F5F3"/>
      </w:pPr>
      <w:r>
        <w:t>Příprava kampaně, návrhy, schvalování a PDF jsou popsané jako implementované s lokálními kontrolami. Celý zákaznický průchod v produkci zbývá doložit. Fyzické odesílání je vypnuté; jeho uvolnění a první skutečná zásilka vyžadují samostatné ověření. [P1]</w:t>
      </w:r>
    </w:p>
    <w:p>
      <w:pPr>
        <w:pStyle w:val="Source"/>
        <w:keepNext w:val="0"/>
        <w:spacing w:before="100"/>
      </w:pPr>
      <w:r>
        <w:t>Postup je návrhem pro tuto firmu; stav produktu vychází z interního přehledu [P1].</w:t>
      </w:r>
    </w:p>
    <w:p>
      <w:pPr>
        <w:pStyle w:val="Kicker"/>
        <w:pageBreakBefore/>
      </w:pPr>
      <w:r>
        <w:t>04 / PŘÍNOSY A OMEZENÍ</w:t>
      </w:r>
    </w:p>
    <w:p>
      <w:pPr>
        <w:pStyle w:val="Heading1"/>
      </w:pPr>
      <w:r>
        <w:t>Kde vzniká hodnota</w:t>
        <w:br/>
        <w:t>a co ji může snížit</w:t>
      </w:r>
    </w:p>
    <w:p>
      <w:pPr>
        <w:pStyle w:val="Lead"/>
        <w:spacing w:after="160"/>
      </w:pPr>
      <w:r>
        <w:t>Přínos musí zahrnout kvalitu výběru, práci schvalujícího člověka i návazný obchod.</w:t>
      </w:r>
    </w:p>
    <w:p>
      <w:pPr>
        <w:pStyle w:val="Heading2"/>
        <w:spacing w:before="140"/>
      </w:pPr>
      <w:r>
        <w:t>Očekávané přínosy pro firmu</w:t>
      </w:r>
    </w:p>
    <w:p>
      <w:pPr>
        <w:pStyle w:val="StudyBullet"/>
        <w:numPr>
          <w:ilvl w:val="0"/>
          <w:numId w:val="10"/>
        </w:numPr>
      </w:pPr>
      <w:r>
        <w:t>Obchodní příprava získá jasný důvod výběru každé firmy. Technik může kontrolovat věcnou nabídku místo dohledávání základní identity adresáta.</w:t>
      </w:r>
    </w:p>
    <w:p>
      <w:pPr>
        <w:pStyle w:val="StudyBullet"/>
        <w:numPr>
          <w:ilvl w:val="0"/>
          <w:numId w:val="10"/>
        </w:numPr>
      </w:pPr>
      <w:r>
        <w:t>Jedna schválená služba se popíše jazykem jednotlivých provozů. Hotel, výrobní podnik a developer mají odlišné rozhodovací otázky.</w:t>
      </w:r>
    </w:p>
    <w:p>
      <w:pPr>
        <w:pStyle w:val="StudyBullet"/>
        <w:numPr>
          <w:ilvl w:val="0"/>
          <w:numId w:val="10"/>
        </w:numPr>
      </w:pPr>
      <w:r>
        <w:t>Záznam neznámých údajů vytvoří osnovu první konzultace. Pomůže oddělit předběžnou relevanci od skutečné technické vhodnosti zakázky.</w:t>
      </w:r>
    </w:p>
    <w:p>
      <w:pPr>
        <w:pStyle w:val="Heading2"/>
        <w:spacing w:before="140"/>
      </w:pPr>
      <w:r>
        <w:t>Rizika navrženého scénáře</w:t>
      </w:r>
    </w:p>
    <w:tbl>
      <w:tblPr>
        <w:tblW w:type="dxa" w:w="9866"/>
        <w:tblLayout w:type="fixed"/>
        <w:tblLook w:firstColumn="1" w:firstRow="1" w:lastColumn="0" w:lastRow="0" w:noHBand="0" w:noVBand="1" w:val="04A0"/>
        <w:tblInd w:w="120" w:type="dxa"/>
        <w:tblCellMar>
          <w:top w:w="90" w:type="dxa"/>
          <w:bottom w:w="90" w:type="dxa"/>
          <w:start w:w="120" w:type="dxa"/>
          <w:end w:w="120" w:type="dxa"/>
        </w:tblCellMar>
        <w:tblBorders>
          <w:top w:val="nil" w:sz="4" w:color="E5E5E5"/>
          <w:left w:val="nil" w:sz="4" w:color="E5E5E5"/>
          <w:bottom w:val="single" w:sz="4" w:color="E5E5E5"/>
          <w:right w:val="nil" w:sz="4" w:color="E5E5E5"/>
          <w:insideH w:val="single" w:sz="4" w:color="E5E5E5"/>
          <w:insideV w:val="nil" w:sz="4" w:color="E5E5E5"/>
        </w:tblBorders>
      </w:tblPr>
      <w:tblGrid>
        <w:gridCol w:w="2171"/>
        <w:gridCol w:w="3946"/>
        <w:gridCol w:w="3749"/>
      </w:tblGrid>
      <w:tr>
        <w:trPr>
          <w:cantSplit/>
          <w:tblHeader/>
        </w:trPr>
        <w:tc>
          <w:tcPr>
            <w:tcW w:type="dxa" w:w="2171"/>
            <w:shd w:fill="E6EFFF"/>
          </w:tcPr>
          <w:p>
            <w:pPr>
              <w:pStyle w:val="TableHeader"/>
            </w:pPr>
            <w:r>
              <w:t>Riziko</w:t>
            </w:r>
          </w:p>
        </w:tc>
        <w:tc>
          <w:tcPr>
            <w:tcW w:type="dxa" w:w="3946"/>
            <w:shd w:fill="E6EFFF"/>
          </w:tcPr>
          <w:p>
            <w:pPr>
              <w:pStyle w:val="TableHeader"/>
            </w:pPr>
            <w:r>
              <w:t>Možný dopad</w:t>
            </w:r>
          </w:p>
        </w:tc>
        <w:tc>
          <w:tcPr>
            <w:tcW w:type="dxa" w:w="3749"/>
            <w:shd w:fill="E6EFFF"/>
          </w:tcPr>
          <w:p>
            <w:pPr>
              <w:pStyle w:val="TableHeader"/>
            </w:pPr>
            <w:r>
              <w:t>Jak jej omezit</w:t>
            </w:r>
          </w:p>
        </w:tc>
      </w:tr>
      <w:tr>
        <w:trPr>
          <w:cantSplit/>
        </w:trPr>
        <w:tc>
          <w:tcPr>
            <w:tcW w:type="dxa" w:w="2171"/>
            <w:shd w:fill="FFFFFF"/>
          </w:tcPr>
          <w:p>
            <w:pPr>
              <w:pStyle w:val="TableBody"/>
            </w:pPr>
            <w:r>
              <w:t>Pravomoc adresáta</w:t>
            </w:r>
          </w:p>
        </w:tc>
        <w:tc>
          <w:tcPr>
            <w:tcW w:type="dxa" w:w="3946"/>
            <w:shd w:fill="FFFFFF"/>
          </w:tcPr>
          <w:p>
            <w:pPr>
              <w:pStyle w:val="TableBody"/>
            </w:pPr>
            <w:r>
              <w:t>Provozovatel nemusí rozhodovat o úpravách budovy.</w:t>
            </w:r>
          </w:p>
        </w:tc>
        <w:tc>
          <w:tcPr>
            <w:tcW w:type="dxa" w:w="3749"/>
            <w:shd w:fill="FFFFFF"/>
          </w:tcPr>
          <w:p>
            <w:pPr>
              <w:pStyle w:val="TableBody"/>
            </w:pPr>
            <w:r>
              <w:t>Při reakci zjistit vlastníka rozhodnutí a jeho roli.</w:t>
            </w:r>
          </w:p>
        </w:tc>
      </w:tr>
      <w:tr>
        <w:trPr>
          <w:cantSplit/>
        </w:trPr>
        <w:tc>
          <w:tcPr>
            <w:tcW w:type="dxa" w:w="2171"/>
            <w:shd w:fill="FAFAF9"/>
          </w:tcPr>
          <w:p>
            <w:pPr>
              <w:pStyle w:val="TableBody"/>
            </w:pPr>
            <w:r>
              <w:t>Slib úspory</w:t>
            </w:r>
          </w:p>
        </w:tc>
        <w:tc>
          <w:tcPr>
            <w:tcW w:type="dxa" w:w="3946"/>
            <w:shd w:fill="FAFAF9"/>
          </w:tcPr>
          <w:p>
            <w:pPr>
              <w:pStyle w:val="TableBody"/>
            </w:pPr>
            <w:r>
              <w:t>Obor ani web nedokládají spotřebu nebo návratnost.</w:t>
            </w:r>
          </w:p>
        </w:tc>
        <w:tc>
          <w:tcPr>
            <w:tcW w:type="dxa" w:w="3749"/>
            <w:shd w:fill="FAFAF9"/>
          </w:tcPr>
          <w:p>
            <w:pPr>
              <w:pStyle w:val="TableBody"/>
            </w:pPr>
            <w:r>
              <w:t>Použít nabídku posouzení; výpočet až z technických dat.</w:t>
            </w:r>
          </w:p>
        </w:tc>
      </w:tr>
      <w:tr>
        <w:trPr>
          <w:cantSplit/>
        </w:trPr>
        <w:tc>
          <w:tcPr>
            <w:tcW w:type="dxa" w:w="2171"/>
            <w:shd w:fill="FFFFFF"/>
          </w:tcPr>
          <w:p>
            <w:pPr>
              <w:pStyle w:val="TableBody"/>
            </w:pPr>
            <w:r>
              <w:t>Široký výběr</w:t>
            </w:r>
          </w:p>
        </w:tc>
        <w:tc>
          <w:tcPr>
            <w:tcW w:type="dxa" w:w="3946"/>
            <w:shd w:fill="FFFFFF"/>
          </w:tcPr>
          <w:p>
            <w:pPr>
              <w:pStyle w:val="TableBody"/>
            </w:pPr>
            <w:r>
              <w:t>Firmy z jiných lokalit či s nevhodnými objekty zatíží obchod.</w:t>
            </w:r>
          </w:p>
        </w:tc>
        <w:tc>
          <w:tcPr>
            <w:tcW w:type="dxa" w:w="3749"/>
            <w:shd w:fill="FFFFFF"/>
          </w:tcPr>
          <w:p>
            <w:pPr>
              <w:pStyle w:val="TableBody"/>
            </w:pPr>
            <w:r>
              <w:t>Potvrdit geografii a technické vylučovací podmínky.</w:t>
            </w:r>
          </w:p>
        </w:tc>
      </w:tr>
      <w:tr>
        <w:trPr>
          <w:cantSplit/>
        </w:trPr>
        <w:tc>
          <w:tcPr>
            <w:tcW w:type="dxa" w:w="2171"/>
            <w:shd w:fill="FAFAF9"/>
          </w:tcPr>
          <w:p>
            <w:pPr>
              <w:pStyle w:val="TableBody"/>
            </w:pPr>
            <w:r>
              <w:t>Kapacita dodávky</w:t>
            </w:r>
          </w:p>
        </w:tc>
        <w:tc>
          <w:tcPr>
            <w:tcW w:type="dxa" w:w="3946"/>
            <w:shd w:fill="FAFAF9"/>
          </w:tcPr>
          <w:p>
            <w:pPr>
              <w:pStyle w:val="TableBody"/>
            </w:pPr>
            <w:r>
              <w:t>Více rozhovorů může převýšit dostupnou kapacitu.</w:t>
            </w:r>
          </w:p>
        </w:tc>
        <w:tc>
          <w:tcPr>
            <w:tcW w:type="dxa" w:w="3749"/>
            <w:shd w:fill="FAFAF9"/>
          </w:tcPr>
          <w:p>
            <w:pPr>
              <w:pStyle w:val="TableBody"/>
            </w:pPr>
            <w:r>
              <w:t>Velikost dávky navázat na kapacitu konzultací.</w:t>
            </w:r>
          </w:p>
        </w:tc>
      </w:tr>
    </w:tbl>
    <w:p>
      <w:pPr>
        <w:pStyle w:val="TableGap"/>
      </w:pPr>
    </w:p>
    <w:p>
      <w:pPr>
        <w:pStyle w:val="Heading2"/>
        <w:spacing w:before="140"/>
      </w:pPr>
      <w:r>
        <w:t>Hranice vhodného použití</w:t>
      </w:r>
    </w:p>
    <w:p>
      <w:pPr>
        <w:spacing w:after="80" w:line="269" w:lineRule="auto"/>
      </w:pPr>
      <w:r>
        <w:t>Dopis nemůže nahradit technickou prohlídku, měření spotřeby ani investiční rozhodnutí. Jeho smyslem je dostat vhodného člověka k otázce, zda má posouzení řízení budovy vůbec hodnotu. Pokud SMARTIQ nemá prostor na následnou konzultaci, větší počet oslovení sám nepředstavuje přínos.</w:t>
      </w:r>
    </w:p>
    <w:p>
      <w:pPr>
        <w:pStyle w:val="NoteTitle"/>
        <w:shd w:fill="F5F5F3"/>
      </w:pPr>
      <w:r>
        <w:t>Podmínka použití dat</w:t>
      </w:r>
    </w:p>
    <w:p>
      <w:pPr>
        <w:pStyle w:val="NoteBody"/>
        <w:shd w:fill="F5F5F3"/>
      </w:pPr>
      <w:r>
        <w:t>Veřejná dostupnost údajů sama nepotvrzuje oprávnění k použití. U osobních údajů je potřeba odpovídající právní základ, informační povinnosti a respektování námitek proti přímému marketingu. Komerční data lze používat jen podle skutečného přístupu a licenčních podmínek. [8]</w:t>
      </w:r>
    </w:p>
    <w:p>
      <w:pPr>
        <w:pStyle w:val="Source"/>
        <w:keepNext w:val="0"/>
        <w:spacing w:before="100"/>
      </w:pPr>
      <w:r>
        <w:t>Přínosy a rizika jsou analytické závěry. Právní rámec osobních údajů: GDPR, čl. 6, 14 a 21 [8].</w:t>
      </w:r>
    </w:p>
    <w:p>
      <w:pPr>
        <w:pStyle w:val="Kicker"/>
        <w:pageBreakBefore/>
      </w:pPr>
      <w:r>
        <w:t>05 / EKONOMICKÝ MODEL</w:t>
      </w:r>
    </w:p>
    <w:p>
      <w:pPr>
        <w:pStyle w:val="Heading1"/>
      </w:pPr>
      <w:r>
        <w:t>Co se musí</w:t>
        <w:br/>
        <w:t>vyplatit při přípravě</w:t>
      </w:r>
    </w:p>
    <w:p>
      <w:pPr>
        <w:pStyle w:val="Lead"/>
        <w:spacing w:after="160"/>
      </w:pPr>
      <w:r>
        <w:t>Čas, výdaj kampaně a obchodní výsledek se vyhodnocují odděleně.</w:t>
      </w:r>
    </w:p>
    <w:p>
      <w:pPr>
        <w:pStyle w:val="NoteTitle"/>
        <w:shd w:fill="F5F5F3"/>
      </w:pPr>
      <w:r>
        <w:t>Ilustrační předpoklady</w:t>
      </w:r>
    </w:p>
    <w:p>
      <w:pPr>
        <w:pStyle w:val="NoteBody"/>
        <w:shd w:fill="F5F5F3"/>
      </w:pPr>
      <w:r>
        <w:t>Všechny částky a časy na této straně jsou zvolené modelové vstupy. Nejde o naměřené výsledky, ceník Delegat.ing, nabídku poštovního poskytovatele ani potvrzené náklady firmy.</w:t>
      </w:r>
    </w:p>
    <w:tbl>
      <w:tblPr>
        <w:tblW w:type="dxa" w:w="9866"/>
        <w:tblLayout w:type="fixed"/>
        <w:tblLook w:firstColumn="1" w:firstRow="1" w:lastColumn="0" w:lastRow="0" w:noHBand="0" w:noVBand="1" w:val="04A0"/>
        <w:tblInd w:w="120" w:type="dxa"/>
        <w:tblCellMar>
          <w:top w:w="90" w:type="dxa"/>
          <w:bottom w:w="90" w:type="dxa"/>
          <w:start w:w="120" w:type="dxa"/>
          <w:end w:w="120" w:type="dxa"/>
        </w:tblCellMar>
        <w:tblBorders>
          <w:top w:val="nil" w:sz="4" w:color="E5E5E5"/>
          <w:left w:val="nil" w:sz="4" w:color="E5E5E5"/>
          <w:bottom w:val="single" w:sz="4" w:color="E5E5E5"/>
          <w:right w:val="nil" w:sz="4" w:color="E5E5E5"/>
          <w:insideH w:val="single" w:sz="4" w:color="E5E5E5"/>
          <w:insideV w:val="nil" w:sz="4" w:color="E5E5E5"/>
        </w:tblBorders>
      </w:tblPr>
      <w:tblGrid>
        <w:gridCol w:w="5920"/>
        <w:gridCol w:w="3946"/>
      </w:tblGrid>
      <w:tr>
        <w:trPr>
          <w:cantSplit/>
          <w:tblHeader/>
        </w:trPr>
        <w:tc>
          <w:tcPr>
            <w:tcW w:type="dxa" w:w="5920"/>
            <w:shd w:fill="E6EFFF"/>
          </w:tcPr>
          <w:p>
            <w:pPr>
              <w:pStyle w:val="TableHeader"/>
            </w:pPr>
            <w:r>
              <w:t>Předpoklad</w:t>
            </w:r>
          </w:p>
        </w:tc>
        <w:tc>
          <w:tcPr>
            <w:tcW w:type="dxa" w:w="3946"/>
            <w:shd w:fill="E6EFFF"/>
          </w:tcPr>
          <w:p>
            <w:pPr>
              <w:pStyle w:val="TableHeader"/>
            </w:pPr>
            <w:r>
              <w:t>Modelová hodnota</w:t>
            </w:r>
          </w:p>
        </w:tc>
      </w:tr>
      <w:tr>
        <w:trPr>
          <w:cantSplit/>
        </w:trPr>
        <w:tc>
          <w:tcPr>
            <w:tcW w:type="dxa" w:w="5920"/>
            <w:shd w:fill="FFFFFF"/>
          </w:tcPr>
          <w:p>
            <w:pPr>
              <w:pStyle w:val="TableBody"/>
            </w:pPr>
            <w:r>
              <w:t>Platforma / rozsah nové kampaně</w:t>
            </w:r>
          </w:p>
        </w:tc>
        <w:tc>
          <w:tcPr>
            <w:tcW w:type="dxa" w:w="3946"/>
            <w:shd w:fill="FFFFFF"/>
          </w:tcPr>
          <w:p>
            <w:pPr>
              <w:pStyle w:val="TableBody"/>
            </w:pPr>
            <w:r>
              <w:t>2 500 Kč / 50 kontaktů</w:t>
            </w:r>
          </w:p>
        </w:tc>
      </w:tr>
      <w:tr>
        <w:trPr>
          <w:cantSplit/>
        </w:trPr>
        <w:tc>
          <w:tcPr>
            <w:tcW w:type="dxa" w:w="5920"/>
            <w:shd w:fill="FAFAF9"/>
          </w:tcPr>
          <w:p>
            <w:pPr>
              <w:pStyle w:val="TableBody"/>
            </w:pPr>
            <w:r>
              <w:t>Externí náklad na jedno oslovení</w:t>
            </w:r>
          </w:p>
        </w:tc>
        <w:tc>
          <w:tcPr>
            <w:tcW w:type="dxa" w:w="3946"/>
            <w:shd w:fill="FAFAF9"/>
          </w:tcPr>
          <w:p>
            <w:pPr>
              <w:pStyle w:val="TableBody"/>
            </w:pPr>
            <w:r>
              <w:t>40 Kč</w:t>
            </w:r>
          </w:p>
        </w:tc>
      </w:tr>
      <w:tr>
        <w:trPr>
          <w:cantSplit/>
        </w:trPr>
        <w:tc>
          <w:tcPr>
            <w:tcW w:type="dxa" w:w="5920"/>
            <w:shd w:fill="FFFFFF"/>
          </w:tcPr>
          <w:p>
            <w:pPr>
              <w:pStyle w:val="TableBody"/>
            </w:pPr>
            <w:r>
              <w:t>Ruční příprava / příprava s AI</w:t>
            </w:r>
          </w:p>
        </w:tc>
        <w:tc>
          <w:tcPr>
            <w:tcW w:type="dxa" w:w="3946"/>
            <w:shd w:fill="FFFFFF"/>
          </w:tcPr>
          <w:p>
            <w:pPr>
              <w:pStyle w:val="TableBody"/>
            </w:pPr>
            <w:r>
              <w:t>25 / 12 minut na kontakt</w:t>
            </w:r>
          </w:p>
        </w:tc>
      </w:tr>
      <w:tr>
        <w:trPr>
          <w:cantSplit/>
        </w:trPr>
        <w:tc>
          <w:tcPr>
            <w:tcW w:type="dxa" w:w="5920"/>
            <w:shd w:fill="FAFAF9"/>
          </w:tcPr>
          <w:p>
            <w:pPr>
              <w:pStyle w:val="TableBody"/>
            </w:pPr>
            <w:r>
              <w:t>Hodnota času pracovníka</w:t>
            </w:r>
          </w:p>
        </w:tc>
        <w:tc>
          <w:tcPr>
            <w:tcW w:type="dxa" w:w="3946"/>
            <w:shd w:fill="FAFAF9"/>
          </w:tcPr>
          <w:p>
            <w:pPr>
              <w:pStyle w:val="TableBody"/>
            </w:pPr>
            <w:r>
              <w:t>600 Kč za hodinu</w:t>
            </w:r>
          </w:p>
        </w:tc>
      </w:tr>
    </w:tbl>
    <w:p>
      <w:pPr>
        <w:pStyle w:val="TableGap"/>
      </w:pPr>
    </w:p>
    <w:p>
      <w:pPr>
        <w:pStyle w:val="Heading2"/>
        <w:spacing w:before="140"/>
      </w:pPr>
      <w:r>
        <w:t>Co zahrnout do měření</w:t>
      </w:r>
    </w:p>
    <w:p>
      <w:pPr>
        <w:spacing w:after="80" w:line="269" w:lineRule="auto"/>
      </w:pPr>
      <w:r>
        <w:t>V tomto modelu se měří obchodní příprava společně s technickou kontrolou textu. Pro SMARTIQ je důležité, zda automatizace nezvýší čas potřebný k opravám nepodložených tvrzení o budově.</w:t>
      </w:r>
    </w:p>
    <w:p>
      <w:pPr>
        <w:spacing w:after="80" w:line="269" w:lineRule="auto"/>
      </w:pPr>
      <w:r>
        <w:t>Externí výdaj modelové nové kampaně je 4 500 Kč před interní prací. Při stejné ruční a AI listovní kampani se shodný náklad na oslovení vyruší. Model uvolní čas v rozsahu 10,83 h, tedy 6 500 Kč časové hodnoty; po odečtení platformy je rozdíl 4 000 Kč.</w:t>
      </w:r>
    </w:p>
    <w:p>
      <w:pPr>
        <w:pStyle w:val="Heading2"/>
        <w:spacing w:before="140"/>
      </w:pPr>
      <w:r>
        <w:t>Citlivost na čas s AI</w:t>
      </w:r>
    </w:p>
    <w:tbl>
      <w:tblPr>
        <w:tblW w:type="dxa" w:w="9866"/>
        <w:tblLayout w:type="fixed"/>
        <w:tblLook w:firstColumn="1" w:firstRow="1" w:lastColumn="0" w:lastRow="0" w:noHBand="0" w:noVBand="1" w:val="04A0"/>
        <w:tblInd w:w="120" w:type="dxa"/>
        <w:tblCellMar>
          <w:top w:w="90" w:type="dxa"/>
          <w:bottom w:w="90" w:type="dxa"/>
          <w:start w:w="120" w:type="dxa"/>
          <w:end w:w="120" w:type="dxa"/>
        </w:tblCellMar>
        <w:tblBorders>
          <w:top w:val="nil" w:sz="4" w:color="E5E5E5"/>
          <w:left w:val="nil" w:sz="4" w:color="E5E5E5"/>
          <w:bottom w:val="single" w:sz="4" w:color="E5E5E5"/>
          <w:right w:val="nil" w:sz="4" w:color="E5E5E5"/>
          <w:insideH w:val="single" w:sz="4" w:color="E5E5E5"/>
          <w:insideV w:val="nil" w:sz="4" w:color="E5E5E5"/>
        </w:tblBorders>
      </w:tblPr>
      <w:tblGrid>
        <w:gridCol w:w="3946"/>
        <w:gridCol w:w="5920"/>
      </w:tblGrid>
      <w:tr>
        <w:trPr>
          <w:cantSplit/>
          <w:tblHeader/>
        </w:trPr>
        <w:tc>
          <w:tcPr>
            <w:tcW w:type="dxa" w:w="3946"/>
            <w:shd w:fill="E6EFFF"/>
          </w:tcPr>
          <w:p>
            <w:pPr>
              <w:pStyle w:val="TableHeader"/>
            </w:pPr>
            <w:r>
              <w:t>Celkový čas s AI</w:t>
            </w:r>
          </w:p>
        </w:tc>
        <w:tc>
          <w:tcPr>
            <w:tcW w:type="dxa" w:w="5920"/>
            <w:shd w:fill="E6EFFF"/>
          </w:tcPr>
          <w:p>
            <w:pPr>
              <w:pStyle w:val="TableHeader"/>
            </w:pPr>
            <w:r>
              <w:t>Časová hodnota minus platforma</w:t>
            </w:r>
          </w:p>
        </w:tc>
      </w:tr>
      <w:tr>
        <w:trPr>
          <w:cantSplit/>
        </w:trPr>
        <w:tc>
          <w:tcPr>
            <w:tcW w:type="dxa" w:w="3946"/>
            <w:shd w:fill="FFFFFF"/>
          </w:tcPr>
          <w:p>
            <w:pPr>
              <w:pStyle w:val="TableBody"/>
            </w:pPr>
            <w:r>
              <w:t>12 min / kontakt</w:t>
            </w:r>
          </w:p>
        </w:tc>
        <w:tc>
          <w:tcPr>
            <w:tcW w:type="dxa" w:w="5920"/>
            <w:shd w:fill="FFFFFF"/>
          </w:tcPr>
          <w:p>
            <w:pPr>
              <w:pStyle w:val="TableBody"/>
            </w:pPr>
            <w:r>
              <w:t>4 000 Kč</w:t>
            </w:r>
          </w:p>
        </w:tc>
      </w:tr>
      <w:tr>
        <w:trPr>
          <w:cantSplit/>
        </w:trPr>
        <w:tc>
          <w:tcPr>
            <w:tcW w:type="dxa" w:w="3946"/>
            <w:shd w:fill="FAFAF9"/>
          </w:tcPr>
          <w:p>
            <w:pPr>
              <w:pStyle w:val="TableBody"/>
            </w:pPr>
            <w:r>
              <w:t>16 min / kontakt</w:t>
            </w:r>
          </w:p>
        </w:tc>
        <w:tc>
          <w:tcPr>
            <w:tcW w:type="dxa" w:w="5920"/>
            <w:shd w:fill="FAFAF9"/>
          </w:tcPr>
          <w:p>
            <w:pPr>
              <w:pStyle w:val="TableBody"/>
            </w:pPr>
            <w:r>
              <w:t>2 000 Kč</w:t>
            </w:r>
          </w:p>
        </w:tc>
      </w:tr>
      <w:tr>
        <w:trPr>
          <w:cantSplit/>
        </w:trPr>
        <w:tc>
          <w:tcPr>
            <w:tcW w:type="dxa" w:w="3946"/>
            <w:shd w:fill="FFFFFF"/>
          </w:tcPr>
          <w:p>
            <w:pPr>
              <w:pStyle w:val="TableBody"/>
            </w:pPr>
            <w:r>
              <w:t>20 min / kontakt</w:t>
            </w:r>
          </w:p>
        </w:tc>
        <w:tc>
          <w:tcPr>
            <w:tcW w:type="dxa" w:w="5920"/>
            <w:shd w:fill="FFFFFF"/>
          </w:tcPr>
          <w:p>
            <w:pPr>
              <w:pStyle w:val="TableBody"/>
            </w:pPr>
            <w:r>
              <w:t>0 Kč</w:t>
            </w:r>
          </w:p>
        </w:tc>
      </w:tr>
    </w:tbl>
    <w:p>
      <w:pPr>
        <w:pStyle w:val="TableGap"/>
      </w:pPr>
    </w:p>
    <w:p>
      <w:pPr>
        <w:spacing w:after="80" w:line="269" w:lineRule="auto"/>
      </w:pPr>
      <w:r>
        <w:t>Při uvedených předpokladech je hranice vyrovnání přibližně 20,0 minuty na kontakt. Výpočet musí zahrnout kontrolu i opravy; počáteční nastavení se sleduje zvlášť.</w:t>
      </w:r>
    </w:p>
    <w:p>
      <w:pPr>
        <w:pStyle w:val="Heading2"/>
        <w:spacing w:before="140"/>
      </w:pPr>
      <w:r>
        <w:t>Jak posoudit obchodní přínos</w:t>
      </w:r>
    </w:p>
    <w:p>
      <w:pPr>
        <w:spacing w:after="80" w:line="269" w:lineRule="auto"/>
      </w:pPr>
      <w:r>
        <w:t>Uvolněný čas představuje kapacitu, nikoli automaticky hotovostní příjem. Návratnost nové akviziční kampaně se posuzuje proti příspěvku skutečně získané zakázky po variabilních nákladech. Úplný náklad zahrne platformu, oslovení, interní přípravu i navazující obchodní práci.</w:t>
      </w:r>
    </w:p>
    <w:p>
      <w:pPr>
        <w:pStyle w:val="Source"/>
        <w:keepNext w:val="0"/>
        <w:spacing w:before="100"/>
      </w:pPr>
      <w:r>
        <w:t>Autorský model pro tuto případovou studii. Skutečné vstupy a výsledky se doplní při ověření.</w:t>
      </w:r>
    </w:p>
    <w:p>
      <w:pPr>
        <w:pStyle w:val="Kicker"/>
        <w:pageBreakBefore/>
      </w:pPr>
      <w:r>
        <w:t>06 / OVĚŘENÍ A ZÁVĚR</w:t>
      </w:r>
    </w:p>
    <w:p>
      <w:pPr>
        <w:pStyle w:val="Heading1"/>
      </w:pPr>
      <w:r>
        <w:t>Jak ověřit</w:t>
        <w:br/>
        <w:t>navržené využití</w:t>
      </w:r>
    </w:p>
    <w:p>
      <w:pPr>
        <w:pStyle w:val="Lead"/>
        <w:spacing w:after="160"/>
      </w:pPr>
      <w:r>
        <w:t>Malý budoucí pilot má potvrdit kvalitu a náročnost postupu; nejde o záznam proběhlého testování.</w:t>
      </w:r>
    </w:p>
    <w:p>
      <w:pPr>
        <w:spacing w:after="80" w:line="269" w:lineRule="auto"/>
      </w:pPr>
      <w:r>
        <w:t>Začít deseti kontakty v simulaci. Po schválení nabídky, podkladů a obsahu lze samostatně uvolnit například pět skutečných dopisů. První reakce posoudit po 30 dnech, pozdější výsledky evidovat dál. Simulace se do skutečného oslovení nezapočítává.</w:t>
      </w:r>
    </w:p>
    <w:p>
      <w:pPr>
        <w:spacing w:after="80" w:line="269" w:lineRule="auto"/>
      </w:pPr>
      <w:r>
        <w:t>U deseti profilů zkontrolovat především lokalitu, typ provozu a pravomoc oslovené role. Technik hodnotí, zda text otevírá vhodnou otázku a neobsahuje neověřené úspory. Při reakci zaznamenat, jaké další podklady jsou potřeba k technickému posouzení.</w:t>
      </w:r>
    </w:p>
    <w:tbl>
      <w:tblPr>
        <w:tblW w:type="dxa" w:w="9866"/>
        <w:tblLayout w:type="fixed"/>
        <w:tblLook w:firstColumn="1" w:firstRow="1" w:lastColumn="0" w:lastRow="0" w:noHBand="0" w:noVBand="1" w:val="04A0"/>
        <w:tblInd w:w="120" w:type="dxa"/>
        <w:tblCellMar>
          <w:top w:w="90" w:type="dxa"/>
          <w:bottom w:w="90" w:type="dxa"/>
          <w:start w:w="120" w:type="dxa"/>
          <w:end w:w="120" w:type="dxa"/>
        </w:tblCellMar>
        <w:tblBorders>
          <w:top w:val="nil" w:sz="4" w:color="E5E5E5"/>
          <w:left w:val="nil" w:sz="4" w:color="E5E5E5"/>
          <w:bottom w:val="single" w:sz="4" w:color="E5E5E5"/>
          <w:right w:val="nil" w:sz="4" w:color="E5E5E5"/>
          <w:insideH w:val="single" w:sz="4" w:color="E5E5E5"/>
          <w:insideV w:val="nil" w:sz="4" w:color="E5E5E5"/>
        </w:tblBorders>
      </w:tblPr>
      <w:tblGrid>
        <w:gridCol w:w="2664"/>
        <w:gridCol w:w="7202"/>
      </w:tblGrid>
      <w:tr>
        <w:trPr>
          <w:cantSplit/>
          <w:tblHeader/>
        </w:trPr>
        <w:tc>
          <w:tcPr>
            <w:tcW w:type="dxa" w:w="2664"/>
            <w:shd w:fill="E6EFFF"/>
          </w:tcPr>
          <w:p>
            <w:pPr>
              <w:pStyle w:val="TableHeader"/>
            </w:pPr>
            <w:r>
              <w:t>Ukazatel</w:t>
            </w:r>
          </w:p>
        </w:tc>
        <w:tc>
          <w:tcPr>
            <w:tcW w:type="dxa" w:w="7202"/>
            <w:shd w:fill="E6EFFF"/>
          </w:tcPr>
          <w:p>
            <w:pPr>
              <w:pStyle w:val="TableHeader"/>
            </w:pPr>
            <w:r>
              <w:t>Co zaznamenat</w:t>
            </w:r>
          </w:p>
        </w:tc>
      </w:tr>
      <w:tr>
        <w:trPr>
          <w:cantSplit/>
        </w:trPr>
        <w:tc>
          <w:tcPr>
            <w:tcW w:type="dxa" w:w="2664"/>
            <w:shd w:fill="FFFFFF"/>
          </w:tcPr>
          <w:p>
            <w:pPr>
              <w:pStyle w:val="TableBody"/>
            </w:pPr>
            <w:r>
              <w:t>Relevance a správnost</w:t>
            </w:r>
          </w:p>
        </w:tc>
        <w:tc>
          <w:tcPr>
            <w:tcW w:type="dxa" w:w="7202"/>
            <w:shd w:fill="FFFFFF"/>
          </w:tcPr>
          <w:p>
            <w:pPr>
              <w:pStyle w:val="TableBody"/>
            </w:pPr>
            <w:r>
              <w:t>Vhodné profily / všechny posouzené profily; zvlášť počet a závažnost faktických chyb.</w:t>
            </w:r>
          </w:p>
        </w:tc>
      </w:tr>
      <w:tr>
        <w:trPr>
          <w:cantSplit/>
        </w:trPr>
        <w:tc>
          <w:tcPr>
            <w:tcW w:type="dxa" w:w="2664"/>
            <w:shd w:fill="FAFAF9"/>
          </w:tcPr>
          <w:p>
            <w:pPr>
              <w:pStyle w:val="TableBody"/>
            </w:pPr>
            <w:r>
              <w:t>Text a čas přípravy</w:t>
            </w:r>
          </w:p>
        </w:tc>
        <w:tc>
          <w:tcPr>
            <w:tcW w:type="dxa" w:w="7202"/>
            <w:shd w:fill="FAFAF9"/>
          </w:tcPr>
          <w:p>
            <w:pPr>
              <w:pStyle w:val="TableBody"/>
            </w:pPr>
            <w:r>
              <w:t>Návrhy bez obsahové úpravy / posouzené návrhy; celkový čas rešerše, návrhu, kontroly a oprav.</w:t>
            </w:r>
          </w:p>
        </w:tc>
      </w:tr>
      <w:tr>
        <w:trPr>
          <w:cantSplit/>
        </w:trPr>
        <w:tc>
          <w:tcPr>
            <w:tcW w:type="dxa" w:w="2664"/>
            <w:shd w:fill="FFFFFF"/>
          </w:tcPr>
          <w:p>
            <w:pPr>
              <w:pStyle w:val="TableBody"/>
            </w:pPr>
            <w:r>
              <w:t>Kvalifikovaná reakce</w:t>
            </w:r>
          </w:p>
        </w:tc>
        <w:tc>
          <w:tcPr>
            <w:tcW w:type="dxa" w:w="7202"/>
            <w:shd w:fill="FFFFFF"/>
          </w:tcPr>
          <w:p>
            <w:pPr>
              <w:pStyle w:val="TableBody"/>
            </w:pPr>
            <w:r>
              <w:t>Rozhovor s osobou, která umí objasnit současné řízení budovy a určit, kdo rozhoduje o případné změně. Obecný dotaz na cenu sám tuto definici nesplňuje.</w:t>
            </w:r>
          </w:p>
        </w:tc>
      </w:tr>
    </w:tbl>
    <w:p>
      <w:pPr>
        <w:pStyle w:val="TableGap"/>
      </w:pPr>
    </w:p>
    <w:p>
      <w:pPr>
        <w:spacing w:after="80" w:line="269" w:lineRule="auto"/>
      </w:pPr>
      <w:r>
        <w:t>Pracovní podmínka pokračování: alespoň osm z deseti profilů zákazník označí za vhodné, žádný finální text nemá kritickou věcnou chybu a celkový čas je přijatelný proti ručnímu postupu. Prahy jsou návrhem k potvrzení firmou. Malý vzorek neumožňuje spolehlivý odhad konverzí trhu.</w:t>
      </w:r>
    </w:p>
    <w:p>
      <w:pPr>
        <w:pStyle w:val="NoteTitle"/>
        <w:shd w:fill="F5F5F3"/>
      </w:pPr>
      <w:r>
        <w:t>Celkové analytické doporučení</w:t>
      </w:r>
    </w:p>
    <w:p>
      <w:pPr>
        <w:pStyle w:val="NoteBody"/>
        <w:shd w:fill="F5F5F3"/>
      </w:pPr>
      <w:r>
        <w:t>Delegat.ing dává pro SMARTIQ smysl jako nástroj předběžného výběru a přípravy odborného rozhovoru. Doporučujeme jeden hotelový segment a malou dávku. Rozšíření podmínit potvrzenou relevancí profilů a zvládnutelnou technickou kontrolou; obchodní účinnost ověřit až skutečnými reakcemi.</w:t>
      </w:r>
    </w:p>
    <w:p>
      <w:pPr>
        <w:pStyle w:val="Heading2"/>
        <w:spacing w:before="140"/>
      </w:pPr>
      <w:r>
        <w:t>Podklady samostatné studie</w:t>
      </w:r>
    </w:p>
    <w:p>
      <w:pPr>
        <w:pStyle w:val="Source"/>
        <w:keepNext/>
        <w:spacing w:before="100"/>
      </w:pPr>
      <w:r>
        <w:t>[1] SMARTIQ - služby a energetické řízení</w:t>
      </w:r>
    </w:p>
    <w:p>
      <w:pPr>
        <w:pStyle w:val="Source"/>
        <w:spacing w:before="100"/>
      </w:pPr>
      <w:hyperlink r:id="rId14">
        <w:r>
          <w:rPr>
            <w:color w:val="0066FF"/>
            <w:rFonts w:ascii="Geist" w:hAnsi="Geist"/>
          </w:rPr>
          <w:t>https://www.smartiq.cz/</w:t>
        </w:r>
      </w:hyperlink>
    </w:p>
    <w:p>
      <w:pPr>
        <w:pStyle w:val="Source"/>
        <w:keepNext/>
        <w:spacing w:before="100"/>
      </w:pPr>
      <w:r>
        <w:t>[8] GDPR - nařízení (EU) 2016/679, čl. 6, 14 a 21</w:t>
      </w:r>
    </w:p>
    <w:p>
      <w:pPr>
        <w:pStyle w:val="Source"/>
        <w:spacing w:before="100"/>
      </w:pPr>
      <w:hyperlink r:id="rId15">
        <w:r>
          <w:rPr>
            <w:color w:val="0066FF"/>
            <w:rFonts w:ascii="Geist" w:hAnsi="Geist"/>
          </w:rPr>
          <w:t>https://eur-lex.europa.eu/legal-content/CS/TXT/?uri=CELEX:32016R0679</w:t>
        </w:r>
      </w:hyperlink>
    </w:p>
    <w:p>
      <w:pPr>
        <w:spacing w:after="80" w:line="269" w:lineRule="auto"/>
      </w:pPr>
      <w:r>
        <w:t>[P1] Interní přehled STAV-FUNKCI-2026-10-05.html. Zadání a výběr firmy dodal projektový tým. Scénáře a dopis jsou autorské návrhy s podporou AI, nikoli schválené stanovisko firmy.</w:t>
      </w:r>
    </w:p>
    <w:p>
      <w:pPr>
        <w:pStyle w:val="Source"/>
        <w:keepNext w:val="0"/>
        <w:spacing w:before="100"/>
      </w:pPr>
      <w:r>
        <w:t>Studie využitelnosti / Delegating Systems s.r.o. / Delegat.ing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headerReference w:type="first" r:id="rId16"/>
      <w:pgSz w:w="11906" w:h="16838"/>
      <w:pgMar w:top="1361" w:right="1020" w:bottom="1020" w:left="1020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866" w:val="right"/>
      </w:tabs>
    </w:pPr>
    <w:r>
      <w:t>DELEGAT.ING / v1.0</w:t>
      <w:tab/>
    </w:r>
    <w:fldSimple w:instr="PAGE">
      <w:r>
        <w:t>1</w:t>
      </w:r>
    </w:fldSimple>
    <w:r>
      <w:t xml:space="preserve"> / </w:t>
    </w:r>
    <w:fldSimple w:instr="NUMPAGES">
      <w:r>
        <w:t>1</w:t>
      </w:r>
    </w:fldSimple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866" w:val="right"/>
      </w:tabs>
    </w:pPr>
    <w:r>
      <w:t>DELEGAT.ING / v1.0</w:t>
      <w:tab/>
    </w:r>
    <w:fldSimple w:instr="PAGE">
      <w:r>
        <w:t>1</w:t>
      </w:r>
    </w:fldSimple>
    <w:r>
      <w:t xml:space="preserve"> / </w:t>
    </w:r>
    <w:fldSimple w:instr="NUMPAGES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866" w:val="right"/>
      </w:tabs>
    </w:pPr>
    <w:r>
      <w:drawing>
        <wp:inline xmlns:a="http://schemas.openxmlformats.org/drawingml/2006/main" xmlns:pic="http://schemas.openxmlformats.org/drawingml/2006/picture">
          <wp:extent cx="1296000" cy="138672"/>
          <wp:docPr id="1" name="Picture 1" descr="Ilustrace vizuálního stylu Delegat.i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6000" cy="138672"/>
                  </a:xfrm>
                  <a:prstGeom prst="rect"/>
                </pic:spPr>
              </pic:pic>
            </a:graphicData>
          </a:graphic>
        </wp:inline>
      </w:drawing>
    </w:r>
    <w:r>
      <w:tab/>
      <w:t>SMARTIQ / JVTP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ind w:left="240" w:hanging="200"/>
      </w:pPr>
      <w:rPr>
        <w:rFonts w:ascii="Geist" w:hAnsi="Geist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20" w:line="278" w:lineRule="auto"/>
    </w:pPr>
    <w:rPr>
      <w:rFonts w:ascii="Geist" w:hAnsi="Geist" w:eastAsia="Geist" w:cs="Geist"/>
      <w:b w:val="0"/>
      <w:i w:val="0"/>
      <w:color w:val="0A0A0A"/>
      <w:sz w:val="21"/>
      <w:lang w:val="cs-CZ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widowControl/>
      <w:tabs>
        <w:tab w:val="center" w:pos="4680"/>
        <w:tab w:val="right" w:pos="9360"/>
      </w:tabs>
      <w:spacing w:after="0" w:line="240" w:lineRule="auto" w:before="0"/>
    </w:pPr>
    <w:rPr>
      <w:rFonts w:ascii="Geist" w:hAnsi="Geist" w:eastAsia="Geist" w:cs="Geist"/>
      <w:b w:val="0"/>
      <w:i w:val="0"/>
      <w:color w:val="525252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widowControl/>
      <w:tabs>
        <w:tab w:val="center" w:pos="4680"/>
        <w:tab w:val="right" w:pos="9360"/>
      </w:tabs>
      <w:spacing w:after="0" w:line="240" w:lineRule="auto" w:before="0"/>
    </w:pPr>
    <w:rPr>
      <w:rFonts w:ascii="Geist" w:hAnsi="Geist" w:eastAsia="Geist" w:cs="Geist"/>
      <w:b w:val="0"/>
      <w:i w:val="0"/>
      <w:color w:val="525252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0" w:after="180" w:line="259" w:lineRule="auto"/>
      <w:outlineLvl w:val="0"/>
    </w:pPr>
    <w:rPr>
      <w:rFonts w:ascii="Geist" w:hAnsi="Geist" w:eastAsia="Geist" w:cs="Geist"/>
      <w:b/>
      <w:bCs/>
      <w:i w:val="0"/>
      <w:color w:val="0A0A0A"/>
      <w:sz w:val="5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80" w:line="259" w:lineRule="auto"/>
      <w:outlineLvl w:val="1"/>
    </w:pPr>
    <w:rPr>
      <w:rFonts w:ascii="Geist" w:hAnsi="Geist" w:eastAsia="Geist" w:cs="Geist"/>
      <w:b/>
      <w:bCs/>
      <w:i w:val="0"/>
      <w:color w:val="0A0A0A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160" w:after="80" w:line="259" w:lineRule="auto"/>
      <w:outlineLvl w:val="2"/>
    </w:pPr>
    <w:rPr>
      <w:rFonts w:ascii="Geist" w:hAnsi="Geist" w:eastAsia="Geist" w:cs="Geist"/>
      <w:b/>
      <w:bCs/>
      <w:i w:val="0"/>
      <w:color w:val="0A0A0A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300" w:line="252" w:lineRule="auto" w:before="0"/>
      <w:contextualSpacing/>
    </w:pPr>
    <w:rPr>
      <w:rFonts w:ascii="Geist" w:hAnsi="Geist" w:eastAsia="Geist" w:cs="Geist"/>
      <w:b w:val="0"/>
      <w:i w:val="0"/>
      <w:color w:val="0A0A0A"/>
      <w:spacing w:val="5"/>
      <w:kern w:val="28"/>
      <w:sz w:val="8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  <w:spacing w:before="0" w:after="280" w:line="288" w:lineRule="auto"/>
    </w:pPr>
    <w:rPr>
      <w:rFonts w:ascii="Geist" w:hAnsi="Geist" w:eastAsia="Geist" w:cs="Geist"/>
      <w:b w:val="0"/>
      <w:i w:val="0"/>
      <w:iCs/>
      <w:color w:val="525252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basedOn w:val="Normal"/>
    <w:pPr>
      <w:keepNext/>
      <w:widowControl/>
      <w:spacing w:before="0" w:after="140" w:line="240" w:lineRule="auto"/>
    </w:pPr>
    <w:rPr>
      <w:rFonts w:ascii="Geist" w:hAnsi="Geist" w:eastAsia="Geist" w:cs="Geist"/>
      <w:b/>
      <w:i w:val="0"/>
      <w:color w:val="0066FF"/>
      <w:sz w:val="16"/>
    </w:rPr>
  </w:style>
  <w:style w:type="paragraph" w:customStyle="1" w:styleId="Lead">
    <w:name w:val="Lead"/>
    <w:basedOn w:val="Normal"/>
    <w:pPr>
      <w:widowControl/>
      <w:spacing w:before="0" w:after="240" w:line="288" w:lineRule="auto"/>
    </w:pPr>
    <w:rPr>
      <w:rFonts w:ascii="Geist" w:hAnsi="Geist" w:eastAsia="Geist" w:cs="Geist"/>
      <w:b w:val="0"/>
      <w:i w:val="0"/>
      <w:color w:val="525252"/>
      <w:sz w:val="23"/>
    </w:rPr>
  </w:style>
  <w:style w:type="paragraph" w:customStyle="1" w:styleId="StudyBullet">
    <w:name w:val="Study Bullet"/>
    <w:basedOn w:val="Normal"/>
    <w:pPr>
      <w:widowControl/>
      <w:spacing w:before="0" w:after="80" w:line="278" w:lineRule="auto"/>
      <w:ind w:left="240" w:hanging="200"/>
    </w:pPr>
    <w:rPr>
      <w:rFonts w:ascii="Geist" w:hAnsi="Geist" w:eastAsia="Geist" w:cs="Geist"/>
      <w:b w:val="0"/>
      <w:i w:val="0"/>
      <w:color w:val="0A0A0A"/>
      <w:sz w:val="21"/>
    </w:rPr>
  </w:style>
  <w:style w:type="paragraph" w:customStyle="1" w:styleId="Source">
    <w:name w:val="Source"/>
    <w:basedOn w:val="Normal"/>
    <w:pPr>
      <w:widowControl/>
      <w:spacing w:before="180" w:after="0" w:line="269" w:lineRule="auto"/>
    </w:pPr>
    <w:rPr>
      <w:rFonts w:ascii="Geist" w:hAnsi="Geist" w:eastAsia="Geist" w:cs="Geist"/>
      <w:b w:val="0"/>
      <w:i w:val="0"/>
      <w:color w:val="525252"/>
      <w:sz w:val="15"/>
    </w:rPr>
  </w:style>
  <w:style w:type="paragraph" w:customStyle="1" w:styleId="TableBody">
    <w:name w:val="Table Body"/>
    <w:basedOn w:val="Normal"/>
    <w:pPr>
      <w:widowControl/>
      <w:spacing w:before="0" w:after="0" w:line="276" w:lineRule="auto"/>
    </w:pPr>
    <w:rPr>
      <w:rFonts w:ascii="Geist" w:hAnsi="Geist" w:eastAsia="Geist" w:cs="Geist"/>
      <w:b w:val="0"/>
      <w:i w:val="0"/>
      <w:color w:val="0A0A0A"/>
      <w:sz w:val="18"/>
    </w:rPr>
  </w:style>
  <w:style w:type="paragraph" w:customStyle="1" w:styleId="TableHeader">
    <w:name w:val="Table Header"/>
    <w:basedOn w:val="Normal"/>
    <w:pPr>
      <w:widowControl/>
      <w:spacing w:before="0" w:after="0" w:line="276" w:lineRule="auto"/>
    </w:pPr>
    <w:rPr>
      <w:rFonts w:ascii="Geist" w:hAnsi="Geist" w:eastAsia="Geist" w:cs="Geist"/>
      <w:b/>
      <w:i w:val="0"/>
      <w:color w:val="0066FF"/>
      <w:sz w:val="17"/>
    </w:rPr>
  </w:style>
  <w:style w:type="paragraph" w:customStyle="1" w:styleId="TableGap">
    <w:name w:val="Table Gap"/>
    <w:basedOn w:val="Normal"/>
    <w:pPr>
      <w:widowControl/>
      <w:spacing w:before="0" w:after="80" w:line="240" w:lineRule="auto"/>
    </w:pPr>
    <w:rPr>
      <w:rFonts w:ascii="Geist" w:hAnsi="Geist" w:eastAsia="Geist" w:cs="Geist"/>
      <w:b w:val="0"/>
      <w:i w:val="0"/>
      <w:color w:val="525252"/>
      <w:sz w:val="4"/>
    </w:rPr>
  </w:style>
  <w:style w:type="paragraph" w:customStyle="1" w:styleId="NoteTitle">
    <w:name w:val="Note Title"/>
    <w:basedOn w:val="Normal"/>
    <w:pPr>
      <w:keepNext/>
      <w:widowControl/>
      <w:spacing w:before="100" w:after="60" w:line="276" w:lineRule="auto"/>
      <w:ind w:left="180" w:right="180"/>
    </w:pPr>
    <w:rPr>
      <w:rFonts w:ascii="Geist" w:hAnsi="Geist" w:eastAsia="Geist" w:cs="Geist"/>
      <w:b/>
      <w:i w:val="0"/>
      <w:color w:val="0A0A0A"/>
      <w:sz w:val="21"/>
    </w:rPr>
  </w:style>
  <w:style w:type="paragraph" w:customStyle="1" w:styleId="NoteBody">
    <w:name w:val="Note Body"/>
    <w:basedOn w:val="Normal"/>
    <w:pPr>
      <w:widowControl/>
      <w:spacing w:before="0" w:after="140" w:line="288" w:lineRule="auto"/>
      <w:ind w:left="180" w:right="180"/>
    </w:pPr>
    <w:rPr>
      <w:rFonts w:ascii="Geist" w:hAnsi="Geist" w:eastAsia="Geist" w:cs="Geist"/>
      <w:b w:val="0"/>
      <w:i w:val="0"/>
      <w:color w:val="0A0A0A"/>
      <w:sz w:val="19"/>
    </w:rPr>
  </w:style>
  <w:style w:type="paragraph" w:customStyle="1" w:styleId="LetterTitle">
    <w:name w:val="Letter Title"/>
    <w:basedOn w:val="Normal"/>
    <w:pPr>
      <w:keepNext/>
      <w:widowControl/>
      <w:spacing w:before="0" w:after="120" w:line="276" w:lineRule="auto"/>
      <w:ind w:left="180" w:right="180"/>
    </w:pPr>
    <w:rPr>
      <w:rFonts w:ascii="Geist" w:hAnsi="Geist" w:eastAsia="Geist" w:cs="Geist"/>
      <w:b/>
      <w:i w:val="0"/>
      <w:color w:val="0A0A0A"/>
      <w:sz w:val="21"/>
    </w:rPr>
  </w:style>
  <w:style w:type="paragraph" w:customStyle="1" w:styleId="LetterBody">
    <w:name w:val="Letter Body"/>
    <w:basedOn w:val="Normal"/>
    <w:pPr>
      <w:widowControl/>
      <w:spacing w:before="0" w:after="100" w:line="276" w:lineRule="auto"/>
      <w:ind w:left="180" w:right="180"/>
    </w:pPr>
    <w:rPr>
      <w:rFonts w:ascii="Geist" w:hAnsi="Geist" w:eastAsia="Geist" w:cs="Geist"/>
      <w:b w:val="0"/>
      <w:i w:val="0"/>
      <w:color w:val="0A0A0A"/>
      <w:sz w:val="19"/>
    </w:rPr>
  </w:style>
  <w:style w:type="paragraph" w:customStyle="1" w:styleId="LetterKicker">
    <w:name w:val="Letter Kicker"/>
    <w:basedOn w:val="Normal"/>
    <w:pPr>
      <w:keepNext/>
      <w:widowControl/>
      <w:spacing w:before="140" w:after="80" w:line="240" w:lineRule="auto"/>
      <w:ind w:left="180" w:right="180"/>
    </w:pPr>
    <w:rPr>
      <w:rFonts w:ascii="Geist" w:hAnsi="Geist" w:eastAsia="Geist" w:cs="Geist"/>
      <w:b/>
      <w:i w:val="0"/>
      <w:color w:val="0066FF"/>
      <w:sz w:val="15"/>
    </w:rPr>
  </w:style>
  <w:style w:type="paragraph" w:customStyle="1" w:styleId="CoverMeta">
    <w:name w:val="Cover Meta"/>
    <w:basedOn w:val="Normal"/>
    <w:pPr>
      <w:widowControl/>
      <w:spacing w:before="0" w:after="120" w:line="288" w:lineRule="auto"/>
    </w:pPr>
    <w:rPr>
      <w:rFonts w:ascii="Geist" w:hAnsi="Geist" w:eastAsia="Geist" w:cs="Geist"/>
      <w:b w:val="0"/>
      <w:i w:val="0"/>
      <w:color w:val="525252"/>
      <w:sz w:val="20"/>
    </w:rPr>
  </w:style>
  <w:style w:type="paragraph" w:customStyle="1" w:styleId="CoverStats">
    <w:name w:val="Cover Stats"/>
    <w:basedOn w:val="Normal"/>
    <w:pPr>
      <w:widowControl/>
      <w:spacing w:before="0" w:after="240" w:line="288" w:lineRule="auto"/>
    </w:pPr>
    <w:rPr>
      <w:rFonts w:ascii="Geist" w:hAnsi="Geist" w:eastAsia="Geist" w:cs="Geist"/>
      <w:b/>
      <w:i w:val="0"/>
      <w:color w:val="0066FF"/>
      <w:sz w:val="3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hyperlink" Target="https://www.smartiq.cz/" TargetMode="External"/><Relationship Id="rId15" Type="http://schemas.openxmlformats.org/officeDocument/2006/relationships/hyperlink" Target="https://eur-lex.europa.eu/legal-content/CS/TXT/?uri=CELEX:32016R0679" TargetMode="External"/><Relationship Id="rId16" Type="http://schemas.openxmlformats.org/officeDocument/2006/relationships/header" Target="head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SMARTIQ / Studie využitelnosti Delegat.ing</dc:title>
  <dc:subject>Samostatná případová studie / SMARTIQ / JVTP / verze 1.0</dc:subject>
  <dc:creator>Delegating Systems s.r.o.</dc:creator>
  <cp:keywords/>
  <dc:description>generated by python-docx</dc:description>
  <cp:lastModifiedBy/>
  <cp:revision>1</cp:revision>
  <cp:category/>
  <dc:language>cs-CZ</dc:language>
</cp:coreProperties>
</file>