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60"/>
      </w:pPr>
      <w:r>
        <w:drawing>
          <wp:inline xmlns:a="http://schemas.openxmlformats.org/drawingml/2006/main" xmlns:pic="http://schemas.openxmlformats.org/drawingml/2006/picture">
            <wp:extent cx="2988000" cy="319716"/>
            <wp:docPr id="1" name="Picture 1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319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>JVTP / SAMOSTATNÁ PŘÍPADOVÁ STUDIE / 02</w:t>
      </w:r>
    </w:p>
    <w:p>
      <w:pPr>
        <w:pStyle w:val="Title"/>
      </w:pPr>
      <w:r>
        <w:t>COPTRZ CZ</w:t>
        <w:br/>
        <w:t>Případová</w:t>
        <w:br/>
        <w:t>studie</w:t>
      </w:r>
    </w:p>
    <w:p>
      <w:pPr>
        <w:pStyle w:val="Subtitle"/>
      </w:pPr>
      <w:r>
        <w:t>Profesionální drony pro průmyslové využití</w:t>
      </w:r>
    </w:p>
    <w:p>
      <w:pPr>
        <w:pStyle w:val="CoverMeta"/>
      </w:pPr>
      <w:r>
        <w:t>Od činnosti provozovatele infrastruktury</w:t>
        <w:br/>
        <w:t>k odbornému posouzení dronové inspekce.</w:t>
      </w:r>
    </w:p>
    <w:p>
      <w:pPr>
        <w:pStyle w:val="CoverMeta"/>
        <w:spacing w:after="400"/>
      </w:pPr>
      <w:r>
        <w:t>Studie využitelnosti Delegat.ing</w:t>
        <w:br/>
        <w:t>pro personalizovanou B2B akvizici.</w:t>
      </w:r>
    </w:p>
    <w:p>
      <w:pPr>
        <w:spacing w:after="200"/>
      </w:pPr>
      <w:r>
        <w:drawing>
          <wp:inline xmlns:a="http://schemas.openxmlformats.org/drawingml/2006/main" xmlns:pic="http://schemas.openxmlformats.org/drawingml/2006/picture">
            <wp:extent cx="900000" cy="1619388"/>
            <wp:docPr id="2" name="Picture 2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me-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619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tats"/>
      </w:pPr>
      <w:r>
        <w:t>3 profily  /  1 kampaň  /  1 modelový dopis</w:t>
      </w:r>
    </w:p>
    <w:p>
      <w:pPr>
        <w:pStyle w:val="CoverMeta"/>
      </w:pPr>
      <w:r>
        <w:t>Zpracovatel: Delegating Systems s.r.o.</w:t>
        <w:br/>
        <w:t>Verze 1.0 / samostatný dokument</w:t>
        <w:br/>
        <w:t>Podklad pro představení projektu JVTP</w:t>
      </w:r>
    </w:p>
    <w:p>
      <w:pPr>
        <w:pStyle w:val="Kicker"/>
        <w:pageBreakBefore/>
      </w:pPr>
      <w:r>
        <w:t>01 / FIRMA A ZÁKAZNÍCI</w:t>
      </w:r>
    </w:p>
    <w:p>
      <w:pPr>
        <w:pStyle w:val="Heading1"/>
      </w:pPr>
      <w:r>
        <w:t>COPTRZ CZ / příležitost</w:t>
      </w:r>
    </w:p>
    <w:p>
      <w:pPr>
        <w:pStyle w:val="Lead"/>
        <w:spacing w:after="160"/>
      </w:pPr>
      <w:r>
        <w:t>Jak propojit technické portfolio s konkrétním inspekčním scénářem a správnou odpovědnou rolí.</w:t>
      </w:r>
    </w:p>
    <w:p>
      <w:pPr>
        <w:pStyle w:val="Heading2"/>
        <w:spacing w:before="140"/>
      </w:pPr>
      <w:r>
        <w:t>Rozsah posouzení</w:t>
      </w:r>
    </w:p>
    <w:p>
      <w:pPr>
        <w:spacing w:after="80" w:line="269" w:lineRule="auto"/>
      </w:pPr>
      <w:r>
        <w:t>Analýza vychází z veřejně prezentované nabídky firmy a popsaného modulu Outreach v Delegat.ing. Cílové profily, kampaň a přínosy jsou návrhy zpracovatele. Studie neobsahuje zákaznické rozhovory ani výsledky proběhlého pilotu; jejich ověření je navrženo v závěru.</w:t>
      </w:r>
    </w:p>
    <w:p>
      <w:pPr>
        <w:pStyle w:val="Heading2"/>
        <w:spacing w:before="140"/>
      </w:pPr>
      <w:r>
        <w:t>Doložená nabídka a navržený cíl</w:t>
      </w:r>
    </w:p>
    <w:p>
      <w:pPr>
        <w:spacing w:after="80" w:line="269" w:lineRule="auto"/>
      </w:pPr>
      <w:r>
        <w:t>COPTRZ CZ veřejně nabízí dronová řešení, podporu zavádění, školení a servis. Nabídka Flyability popisuje inspekce obtížně přístupných prostor; AVAG představuje práci s geoprostorovými daty. [2, 3, 4] Navrženým cílem je odborná konzultace nebo předvedení konkrétního způsobu použití.</w:t>
      </w:r>
    </w:p>
    <w:p>
      <w:pPr>
        <w:pStyle w:val="Heading2"/>
        <w:spacing w:before="140"/>
      </w:pPr>
      <w:r>
        <w:t>Tři modelové zákaznické profily</w:t>
      </w:r>
    </w:p>
    <w:p>
      <w:pPr>
        <w:pStyle w:val="StudyBullet"/>
        <w:numPr>
          <w:ilvl w:val="0"/>
          <w:numId w:val="10"/>
        </w:numPr>
      </w:pPr>
      <w:r>
        <w:t>Vodohospodářský provoz. Doložená správa vodárenské nebo kanalizační infrastruktury vytváří kontext pro rozhovor o inspekcích. Adresátem je technické vedení či provozní odpovědná role. Konkrétní prostory, dostupnost a současný způsob kontroly musí potvrdit zákazník.</w:t>
      </w:r>
    </w:p>
    <w:p>
      <w:pPr>
        <w:pStyle w:val="StudyBullet"/>
        <w:numPr>
          <w:ilvl w:val="0"/>
          <w:numId w:val="10"/>
        </w:numPr>
      </w:pPr>
      <w:r>
        <w:t>Průmyslový podnik. Veřejná činnost může odůvodnit nabídku posouzení kontrol zařízení. Dopis pracuje s obecnou možností inspekce obtížně přístupných míst; netvrdí existenci konkrétní nádrže, potřebu odstávky ani možnost jejího zkrácení bez dalších podkladů.</w:t>
      </w:r>
    </w:p>
    <w:p>
      <w:pPr>
        <w:pStyle w:val="StudyBullet"/>
        <w:numPr>
          <w:ilvl w:val="0"/>
          <w:numId w:val="10"/>
        </w:numPr>
      </w:pPr>
      <w:r>
        <w:t>Stavební nebo infrastrukturní firma. Veřejně doložené projekty vytvářejí kontext pro dokumentaci a zpracování prostorových dat. Oslovení má nabídnout konzultaci workflow; potřeba měření, oprávnění a požadovaná přesnost zůstávají k odbornému ověření.</w:t>
      </w:r>
    </w:p>
    <w:p>
      <w:pPr>
        <w:pStyle w:val="Heading2"/>
        <w:spacing w:before="140"/>
      </w:pPr>
      <w:r>
        <w:t>Navržená kampaň v Delegat.ing</w:t>
      </w:r>
    </w:p>
    <w:p>
      <w:pPr>
        <w:spacing w:after="80" w:line="269" w:lineRule="auto"/>
      </w:pPr>
      <w:r>
        <w:t>První dávku zaměřit pouze na vodohospodářství a jeden schválený inspekční scénář. Do znalostní báze dodat aktuální technické podklady a rozsah nabízených služeb. Rešerše doloží činnost provozovatele. Návrh textu projde kontrolou technika, který rozhodne o vhodnosti nabízeného dalšího kroku.</w:t>
      </w:r>
    </w:p>
    <w:p>
      <w:pPr>
        <w:pStyle w:val="Heading2"/>
        <w:spacing w:before="140"/>
      </w:pPr>
      <w:r>
        <w:t>Očekávané přínosy</w:t>
      </w:r>
    </w:p>
    <w:p>
      <w:pPr>
        <w:pStyle w:val="StudyBullet"/>
        <w:numPr>
          <w:ilvl w:val="0"/>
          <w:numId w:val="10"/>
        </w:numPr>
      </w:pPr>
      <w:r>
        <w:t>Převod širokého portfolia do nabídky související s činností adresáta.</w:t>
      </w:r>
    </w:p>
    <w:p>
      <w:pPr>
        <w:pStyle w:val="StudyBullet"/>
        <w:numPr>
          <w:ilvl w:val="0"/>
          <w:numId w:val="10"/>
        </w:numPr>
      </w:pPr>
      <w:r>
        <w:t>Méně času věnovaného opakovanému vysvětlování technického kontextu při přípravě oslovení.</w:t>
      </w:r>
    </w:p>
    <w:p>
      <w:pPr>
        <w:pStyle w:val="StudyBullet"/>
        <w:numPr>
          <w:ilvl w:val="0"/>
          <w:numId w:val="10"/>
        </w:numPr>
      </w:pPr>
      <w:r>
        <w:t>Přehledná evidence, proč byla konkrétní firma vybrána a jaký scénář jí byl nabídnut.</w:t>
      </w:r>
    </w:p>
    <w:p>
      <w:pPr>
        <w:pStyle w:val="NoteTitle"/>
        <w:shd w:fill="F5F5F3"/>
      </w:pPr>
      <w:r>
        <w:t>Analytické posouzení</w:t>
      </w:r>
    </w:p>
    <w:p>
      <w:pPr>
        <w:pStyle w:val="NoteBody"/>
        <w:shd w:fill="F5F5F3"/>
      </w:pPr>
      <w:r>
        <w:t>Vhodné pro pilot s odborným schvalováním. Přínos spočívá v přípravě obchodního rozhovoru; prodejní nebo provozní účinnost technologie se touto studií nepotvrzuje.</w:t>
      </w:r>
    </w:p>
    <w:p>
      <w:pPr>
        <w:pStyle w:val="Source"/>
        <w:keepNext w:val="0"/>
        <w:spacing w:before="100"/>
      </w:pPr>
      <w:r>
        <w:t>Veřejná nabídka: COPTRZ [2], Flyability [3], AVAG [4]. Zákaznické profily jsou modelové.</w:t>
      </w:r>
    </w:p>
    <w:p>
      <w:pPr>
        <w:pStyle w:val="Kicker"/>
        <w:pageBreakBefore/>
      </w:pPr>
      <w:r>
        <w:t>02 / KONKRÉTNÍ KAMPAŇ</w:t>
      </w:r>
    </w:p>
    <w:p>
      <w:pPr>
        <w:pStyle w:val="Heading1"/>
      </w:pPr>
      <w:r>
        <w:t>COPTRZ CZ / kampaň</w:t>
      </w:r>
    </w:p>
    <w:p>
      <w:pPr>
        <w:pStyle w:val="Lead"/>
      </w:pPr>
      <w:r>
        <w:t>Nabídka odborného posouzení inspekce místo nepodloženého slibu úspory.</w:t>
      </w:r>
    </w:p>
    <w:p>
      <w:pPr>
        <w:pStyle w:val="LetterKicker"/>
        <w:shd w:fill="F0F5FF"/>
      </w:pPr>
      <w:r>
        <w:t>MODELOVÁ UKÁZKA / HYPOTETICKÝ ADRESÁT</w:t>
      </w:r>
    </w:p>
    <w:p>
      <w:pPr>
        <w:pStyle w:val="LetterTitle"/>
        <w:shd w:fill="F0F5FF"/>
      </w:pPr>
      <w:r>
        <w:t>Posouzení možností inspekce vaší infrastruktury</w:t>
      </w:r>
    </w:p>
    <w:p>
      <w:pPr>
        <w:pStyle w:val="LetterBody"/>
        <w:shd w:fill="F0F5FF"/>
      </w:pPr>
      <w:r>
        <w:t>Vážené technické vedení,</w:t>
      </w:r>
    </w:p>
    <w:p>
      <w:pPr>
        <w:pStyle w:val="LetterBody"/>
        <w:shd w:fill="F0F5FF"/>
      </w:pPr>
      <w:r>
        <w:t>obracíme se na vás jako na provozovatele vodohospodářské infrastruktury. COPTRZ CZ nabízí profesionální dronová řešení a podporu jejich zavádění.</w:t>
      </w:r>
    </w:p>
    <w:p>
      <w:pPr>
        <w:pStyle w:val="LetterBody"/>
        <w:shd w:fill="F0F5FF"/>
      </w:pPr>
      <w:r>
        <w:t>Jedním z možných témat je inspekce obtížně přístupných prostor. Vhodnost takového postupu závisí na konkrétním místě, požadovaných datech a podmínkách provozu.</w:t>
      </w:r>
    </w:p>
    <w:p>
      <w:pPr>
        <w:pStyle w:val="LetterBody"/>
        <w:shd w:fill="F0F5FF"/>
      </w:pPr>
      <w:r>
        <w:t>Navrhujeme úvodní technický rozhovor o vašem současném způsobu kontroly. Na jeho základě bychom mohli posoudit, zda dává smysl připravit ukázku některého z nabízených řešení.</w:t>
      </w:r>
    </w:p>
    <w:p>
      <w:pPr>
        <w:pStyle w:val="LetterBody"/>
        <w:shd w:fill="F0F5FF"/>
      </w:pPr>
      <w:r>
        <w:t>Pokud chcete toto téma probrat, kontaktujte nás prostřednictvím coptrz.cz.</w:t>
      </w:r>
    </w:p>
    <w:p>
      <w:pPr>
        <w:pStyle w:val="LetterBody"/>
        <w:shd w:fill="F0F5FF"/>
      </w:pPr>
      <w:r>
        <w:t>Tým COPTRZ CZ</w:t>
      </w:r>
    </w:p>
    <w:p>
      <w:pPr>
        <w:pStyle w:val="Heading2"/>
      </w:pPr>
      <w:r>
        <w:t>Proč je oslovení personalizované</w:t>
      </w:r>
    </w:p>
    <w:p>
      <w:r>
        <w:t>Důvodem oslovení je činnost provozovatele a odpovídající inspekční scénář. Text neodvozuje stav zařízení, konkrétní nebezpečí ani náklady adresáta. Technické parametry patří do následného posouzení.</w:t>
      </w:r>
    </w:p>
    <w:p>
      <w:pPr>
        <w:pStyle w:val="Heading2"/>
      </w:pPr>
      <w:r>
        <w:t>Omezení a nevhodné použití</w:t>
      </w:r>
    </w:p>
    <w:p>
      <w:pPr>
        <w:pStyle w:val="StudyBullet"/>
        <w:numPr>
          <w:ilvl w:val="0"/>
          <w:numId w:val="10"/>
        </w:numPr>
      </w:pPr>
      <w:r>
        <w:t>Záměna oboru může vést k nabídce nevhodné technologie. Firma má schválit segment i produktové podklady.</w:t>
      </w:r>
    </w:p>
    <w:p>
      <w:pPr>
        <w:pStyle w:val="StudyBullet"/>
        <w:numPr>
          <w:ilvl w:val="0"/>
          <w:numId w:val="10"/>
        </w:numPr>
      </w:pPr>
      <w:r>
        <w:t>Veřejné technické materiály se mění; znalostní báze potřebuje datum a vlastníka aktualizace.</w:t>
      </w:r>
    </w:p>
    <w:p>
      <w:pPr>
        <w:pStyle w:val="StudyBullet"/>
        <w:numPr>
          <w:ilvl w:val="0"/>
          <w:numId w:val="10"/>
        </w:numPr>
      </w:pPr>
      <w:r>
        <w:t>U veřejných nebo velkých organizací může další postup záviset na rozpočtu a formálním nákupním procesu. Schůzka sama není objednávka.</w:t>
      </w:r>
    </w:p>
    <w:p>
      <w:pPr>
        <w:pStyle w:val="Heading2"/>
      </w:pPr>
      <w:r>
        <w:t>Co dodat a co ověřit v pilotu</w:t>
      </w:r>
    </w:p>
    <w:p>
      <w:r>
        <w:t>COPTRZ určí jeden použitelný scénář, schválené parametry a dostupnou kapacitu technika. Pilot sleduje správnost propojení segmentu s řešením, podíl odborných oprav, čas schvalování a počet rozhovorů, které vedou k věcnému posouzení.</w:t>
      </w:r>
    </w:p>
    <w:p>
      <w:pPr>
        <w:pStyle w:val="NoteTitle"/>
        <w:shd w:fill="F5F5F3"/>
      </w:pPr>
      <w:r>
        <w:t>Rozhodnutí po první dávce</w:t>
      </w:r>
    </w:p>
    <w:p>
      <w:pPr>
        <w:pStyle w:val="NoteBody"/>
        <w:shd w:fill="F5F5F3"/>
      </w:pPr>
      <w:r>
        <w:t>Rozšiřovat kampaň až po potvrzení, že texty správně popisují nabídku a přivádějí dotazy k vybranému scénáři. Nepodložené technické sliby jsou důvodem k přepracování podkladů.</w:t>
      </w:r>
    </w:p>
    <w:p>
      <w:pPr>
        <w:pStyle w:val="Source"/>
        <w:keepNext w:val="0"/>
      </w:pPr>
      <w:r>
        <w:t>Autorská modelová ukázka; adresát je hypotetický. Text není technickým posudkem ani odeslaným dopisem.</w:t>
      </w:r>
    </w:p>
    <w:p>
      <w:pPr>
        <w:pStyle w:val="Kicker"/>
        <w:pageBreakBefore/>
      </w:pPr>
      <w:r>
        <w:t>03 / PRAKTICKÝ POSTUP</w:t>
      </w:r>
    </w:p>
    <w:p>
      <w:pPr>
        <w:pStyle w:val="Heading1"/>
      </w:pPr>
      <w:r>
        <w:t>Od zadání</w:t>
        <w:br/>
        <w:t>ke schválenému výstupu</w:t>
      </w:r>
    </w:p>
    <w:p>
      <w:pPr>
        <w:pStyle w:val="Lead"/>
        <w:spacing w:after="160"/>
      </w:pPr>
      <w:r>
        <w:t>Jeden scénář, dohledatelné podklady a konkrétní lidská rozhodnutí.</w:t>
      </w:r>
    </w:p>
    <w:p>
      <w:pPr>
        <w:pStyle w:val="Heading2"/>
        <w:spacing w:before="140"/>
      </w:pPr>
      <w:r>
        <w:t>Co připravit předem</w:t>
      </w:r>
    </w:p>
    <w:p>
      <w:pPr>
        <w:spacing w:after="80" w:line="269" w:lineRule="auto"/>
      </w:pPr>
      <w:r>
        <w:t>COPTRZ vybere jeden inspekční scénář a aktuální produktové podklady. Vymezí, co lze nabídnout při úvodním hovoru a za jakých podmínek lze připravit ukázku. Podklady mají obsahovat rozsah podpory, kontaktní roli specialisty a hranice použití; obecný katalog neslouží jako potvrzení vhodnosti pro konkrétní provoz.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466"/>
        <w:gridCol w:w="7400"/>
      </w:tblGrid>
      <w:tr>
        <w:trPr>
          <w:cantSplit/>
          <w:tblHeader/>
        </w:trPr>
        <w:tc>
          <w:tcPr>
            <w:tcW w:type="dxa" w:w="2466"/>
            <w:shd w:fill="E6EFFF"/>
          </w:tcPr>
          <w:p>
            <w:pPr>
              <w:pStyle w:val="TableHeader"/>
            </w:pPr>
            <w:r>
              <w:t>Krok</w:t>
            </w:r>
          </w:p>
        </w:tc>
        <w:tc>
          <w:tcPr>
            <w:tcW w:type="dxa" w:w="7400"/>
            <w:shd w:fill="E6EFFF"/>
          </w:tcPr>
          <w:p>
            <w:pPr>
              <w:pStyle w:val="TableHeader"/>
            </w:pPr>
            <w:r>
              <w:t>Výstup a rozhodnutí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1 / Zadání nabídky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Vybrat jeden scénář pro vodohospodářství. Oddělit prodej zařízení, službu, školení a posouzení nasazení; určit konkrétní nabídku prvního dopisu.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2 / Výběr kontaktů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Ověřit, že firma skutečně spravuje relevantní infrastrukturu. Hledat technické vedení nebo provozní odpovědnou roli, nikoli náhodnou kontaktní osobu.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3 / Rešerše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Doložit činnost provozovatele a její vazbu k inspekci. Nekonstruovat existenci konkrétní nádrže, nebezpečné situace nebo plánované odstávky.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4 / Text a kontrola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Nabídnout technický rozhovor o místě a požadovaných datech. Specialista ověří popis technologie a odstraní nepodložené provozní nebo ekonomické sliby.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5 / Výstup a reakce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Připravit schválené PDF. Navazující dotaz přiřadit ke scénáři, zapsat technické otázky a oddělit zájem o ukázku od rozhodnutí o nákupu.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Jak se mění argument podle segmentu</w:t>
      </w:r>
    </w:p>
    <w:p>
      <w:pPr>
        <w:pStyle w:val="StudyBullet"/>
        <w:numPr>
          <w:ilvl w:val="0"/>
          <w:numId w:val="10"/>
        </w:numPr>
      </w:pPr>
      <w:r>
        <w:t>Vodohospodářství: inspekce obtížně přístupných prostor a potřebná data; první kontakt má zjistit konkrétní místo a provozní podmínky.</w:t>
      </w:r>
    </w:p>
    <w:p>
      <w:pPr>
        <w:pStyle w:val="StudyBullet"/>
        <w:numPr>
          <w:ilvl w:val="0"/>
          <w:numId w:val="10"/>
        </w:numPr>
      </w:pPr>
      <w:r>
        <w:t>Průmysl: rozhovor o současném způsobu kontroly zařízení; bez tvrzení o omezení odstávek či vstupu lidí bez posouzení.</w:t>
      </w:r>
    </w:p>
    <w:p>
      <w:pPr>
        <w:pStyle w:val="StudyBullet"/>
        <w:numPr>
          <w:ilvl w:val="0"/>
          <w:numId w:val="10"/>
        </w:numPr>
      </w:pPr>
      <w:r>
        <w:t>Stavby a infrastruktura: dokumentace a prostorová data; přesnost, oprávnění a návazný pracovní postup potvrdí specialista.</w:t>
      </w:r>
    </w:p>
    <w:p>
      <w:pPr>
        <w:pStyle w:val="NoteTitle"/>
        <w:shd w:fill="F5F5F3"/>
      </w:pPr>
      <w:r>
        <w:t>Rozsah řešení podle interního podkladu</w:t>
      </w:r>
    </w:p>
    <w:p>
      <w:pPr>
        <w:pStyle w:val="NoteBody"/>
        <w:shd w:fill="F5F5F3"/>
      </w:pPr>
      <w:r>
        <w:t>Příprava kampaně, návrhy, schvalování a PDF jsou popsané jako implementované s lokálními kontrolami. Celý zákaznický průchod v produkci zbývá doložit. Fyzické odesílání je vypnuté; jeho uvolnění a první skutečná zásilka vyžadují samostatné ověření. [P1]</w:t>
      </w:r>
    </w:p>
    <w:p>
      <w:pPr>
        <w:pStyle w:val="Source"/>
        <w:keepNext w:val="0"/>
        <w:spacing w:before="100"/>
      </w:pPr>
      <w:r>
        <w:t>Postup je návrhem pro tuto firmu; stav produktu vychází z interního přehledu [P1].</w:t>
      </w:r>
    </w:p>
    <w:p>
      <w:pPr>
        <w:pStyle w:val="Kicker"/>
        <w:pageBreakBefore/>
      </w:pPr>
      <w:r>
        <w:t>04 / PŘÍNOSY A OMEZENÍ</w:t>
      </w:r>
    </w:p>
    <w:p>
      <w:pPr>
        <w:pStyle w:val="Heading1"/>
      </w:pPr>
      <w:r>
        <w:t>Kde vzniká hodnota</w:t>
        <w:br/>
        <w:t>a co ji může snížit</w:t>
      </w:r>
    </w:p>
    <w:p>
      <w:pPr>
        <w:pStyle w:val="Lead"/>
        <w:spacing w:after="160"/>
      </w:pPr>
      <w:r>
        <w:t>Přínos musí zahrnout kvalitu výběru, práci schvalujícího člověka i návazný obchod.</w:t>
      </w:r>
    </w:p>
    <w:p>
      <w:pPr>
        <w:pStyle w:val="Heading2"/>
        <w:spacing w:before="140"/>
      </w:pPr>
      <w:r>
        <w:t>Očekávané přínosy pro firmu</w:t>
      </w:r>
    </w:p>
    <w:p>
      <w:pPr>
        <w:pStyle w:val="StudyBullet"/>
        <w:numPr>
          <w:ilvl w:val="0"/>
          <w:numId w:val="10"/>
        </w:numPr>
      </w:pPr>
      <w:r>
        <w:t>Široké technické portfolio se převede na jednu srozumitelnou obchodní otázku. Adresát získá důvod, proč s ním COPTRZ chce mluvit.</w:t>
      </w:r>
    </w:p>
    <w:p>
      <w:pPr>
        <w:pStyle w:val="StudyBullet"/>
        <w:numPr>
          <w:ilvl w:val="0"/>
          <w:numId w:val="10"/>
        </w:numPr>
      </w:pPr>
      <w:r>
        <w:t>Obchodník dostane evidenci segmentu, zdroje a nabídnutého scénáře. Technik může navázat konkrétním posouzením bez nové základní rešerše.</w:t>
      </w:r>
    </w:p>
    <w:p>
      <w:pPr>
        <w:pStyle w:val="StudyBullet"/>
        <w:numPr>
          <w:ilvl w:val="0"/>
          <w:numId w:val="10"/>
        </w:numPr>
      </w:pPr>
      <w:r>
        <w:t>Schválené technické podklady se použijí opakovaně. Přínos se projeví jen tehdy, pokud nevzroste počet odborných oprav jednotlivých dopisů.</w:t>
      </w:r>
    </w:p>
    <w:p>
      <w:pPr>
        <w:pStyle w:val="Heading2"/>
        <w:spacing w:before="140"/>
      </w:pPr>
      <w:r>
        <w:t>Rizika navrženého scénáře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171"/>
        <w:gridCol w:w="3946"/>
        <w:gridCol w:w="3749"/>
      </w:tblGrid>
      <w:tr>
        <w:trPr>
          <w:cantSplit/>
          <w:tblHeader/>
        </w:trPr>
        <w:tc>
          <w:tcPr>
            <w:tcW w:type="dxa" w:w="2171"/>
            <w:shd w:fill="E6EFFF"/>
          </w:tcPr>
          <w:p>
            <w:pPr>
              <w:pStyle w:val="TableHeader"/>
            </w:pPr>
            <w:r>
              <w:t>Riziko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Možný dopad</w:t>
            </w:r>
          </w:p>
        </w:tc>
        <w:tc>
          <w:tcPr>
            <w:tcW w:type="dxa" w:w="3749"/>
            <w:shd w:fill="E6EFFF"/>
          </w:tcPr>
          <w:p>
            <w:pPr>
              <w:pStyle w:val="TableHeader"/>
            </w:pPr>
            <w:r>
              <w:t>Jak jej omezit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Nesoulad technologie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Správný obor ještě neznamená vhodný prostor pro daný dron.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Dopis nabídne posouzení; parametry potvrdí technik.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Zastaralé podklady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Dostupnost a rozsah nabídky se mohou změnit.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Udržovat schválenou verzi materiálů a jejího vlastníka.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Slib bez důkazu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Úsporu, bezpečnost či provozní výsledek nelze odvodit z webu.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Nepřenášet obecné příklady na konkrétního adresáta.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Nákupní postup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Technický zájem může mít dlouhou cestu k objednávce.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Evidovat roli, rozpočet a další proces až po rozhovoru.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Hranice vhodného použití</w:t>
      </w:r>
    </w:p>
    <w:p>
      <w:pPr>
        <w:spacing w:after="80" w:line="269" w:lineRule="auto"/>
      </w:pPr>
      <w:r>
        <w:t>Delegat.ing připraví podklad pro jednání, ale nerozhodne o letových podmínkách, bezpečnosti, potřebné přesnosti ani vhodnosti technologie. Tyto otázky vyžadují odbornou práci. Kampaň odložit, pokud nelze určit konkrétní scénář nebo zajistit specialistu pro kontrolu a následnou konzultaci.</w:t>
      </w:r>
    </w:p>
    <w:p>
      <w:pPr>
        <w:pStyle w:val="NoteTitle"/>
        <w:shd w:fill="F5F5F3"/>
      </w:pPr>
      <w:r>
        <w:t>Podmínka použití dat</w:t>
      </w:r>
    </w:p>
    <w:p>
      <w:pPr>
        <w:pStyle w:val="NoteBody"/>
        <w:shd w:fill="F5F5F3"/>
      </w:pPr>
      <w:r>
        <w:t>Veřejná dostupnost údajů sama nepotvrzuje oprávnění k použití. U osobních údajů je potřeba odpovídající právní základ, informační povinnosti a respektování námitek proti přímému marketingu. Komerční data lze používat jen podle skutečného přístupu a licenčních podmínek. [8]</w:t>
      </w:r>
    </w:p>
    <w:p>
      <w:pPr>
        <w:pStyle w:val="Source"/>
        <w:keepNext w:val="0"/>
        <w:spacing w:before="100"/>
      </w:pPr>
      <w:r>
        <w:t>Přínosy a rizika jsou analytické závěry. Právní rámec osobních údajů: GDPR, čl. 6, 14 a 21 [8].</w:t>
      </w:r>
    </w:p>
    <w:p>
      <w:pPr>
        <w:pStyle w:val="Kicker"/>
        <w:pageBreakBefore/>
      </w:pPr>
      <w:r>
        <w:t>05 / EKONOMICKÝ MODEL</w:t>
      </w:r>
    </w:p>
    <w:p>
      <w:pPr>
        <w:pStyle w:val="Heading1"/>
      </w:pPr>
      <w:r>
        <w:t>Co se musí</w:t>
        <w:br/>
        <w:t>vyplatit při přípravě</w:t>
      </w:r>
    </w:p>
    <w:p>
      <w:pPr>
        <w:pStyle w:val="Lead"/>
        <w:spacing w:after="160"/>
      </w:pPr>
      <w:r>
        <w:t>Čas, výdaj kampaně a obchodní výsledek se vyhodnocují odděleně.</w:t>
      </w:r>
    </w:p>
    <w:p>
      <w:pPr>
        <w:pStyle w:val="NoteTitle"/>
        <w:shd w:fill="F5F5F3"/>
      </w:pPr>
      <w:r>
        <w:t>Ilustrační předpoklady</w:t>
      </w:r>
    </w:p>
    <w:p>
      <w:pPr>
        <w:pStyle w:val="NoteBody"/>
        <w:shd w:fill="F5F5F3"/>
      </w:pPr>
      <w:r>
        <w:t>Všechny částky a časy na této straně jsou zvolené modelové vstupy. Nejde o naměřené výsledky, ceník Delegat.ing, nabídku poštovního poskytovatele ani potvrzené náklady firmy.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5920"/>
        <w:gridCol w:w="3946"/>
      </w:tblGrid>
      <w:tr>
        <w:trPr>
          <w:cantSplit/>
          <w:tblHeader/>
        </w:trPr>
        <w:tc>
          <w:tcPr>
            <w:tcW w:type="dxa" w:w="5920"/>
            <w:shd w:fill="E6EFFF"/>
          </w:tcPr>
          <w:p>
            <w:pPr>
              <w:pStyle w:val="TableHeader"/>
            </w:pPr>
            <w:r>
              <w:t>Předpoklad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Modelová hodnota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Platforma / rozsah nové kampaně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2 500 Kč / 50 kontaktů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Externí náklad na jedno oslovení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40 Kč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Ruční příprava / příprava s AI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30 / 18 minut na kontakt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Hodnota času pracovníka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800 Kč za hodinu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Co zahrnout do měření</w:t>
      </w:r>
    </w:p>
    <w:p>
      <w:pPr>
        <w:spacing w:after="80" w:line="269" w:lineRule="auto"/>
      </w:pPr>
      <w:r>
        <w:t>Model předpokládá delší odbornou přípravu a vyšší časovou hodnotu specialisty. Opravy technických tvrzení se počítají do celkového času; rychlá tvorba prvního textu sama neprokazuje ekonomický přínos.</w:t>
      </w:r>
    </w:p>
    <w:p>
      <w:pPr>
        <w:spacing w:after="80" w:line="269" w:lineRule="auto"/>
      </w:pPr>
      <w:r>
        <w:t>Externí výdaj modelové nové kampaně je 4 500 Kč před interní prací. Při stejné ruční a AI listovní kampani se shodný náklad na oslovení vyruší. Model uvolní čas v rozsahu 10 h, tedy 8 000 Kč časové hodnoty; po odečtení platformy je rozdíl 5 500 Kč.</w:t>
      </w:r>
    </w:p>
    <w:p>
      <w:pPr>
        <w:pStyle w:val="Heading2"/>
        <w:spacing w:before="140"/>
      </w:pPr>
      <w:r>
        <w:t>Citlivost na čas s AI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3946"/>
        <w:gridCol w:w="5920"/>
      </w:tblGrid>
      <w:tr>
        <w:trPr>
          <w:cantSplit/>
          <w:tblHeader/>
        </w:trPr>
        <w:tc>
          <w:tcPr>
            <w:tcW w:type="dxa" w:w="3946"/>
            <w:shd w:fill="E6EFFF"/>
          </w:tcPr>
          <w:p>
            <w:pPr>
              <w:pStyle w:val="TableHeader"/>
            </w:pPr>
            <w:r>
              <w:t>Celkový čas s AI</w:t>
            </w:r>
          </w:p>
        </w:tc>
        <w:tc>
          <w:tcPr>
            <w:tcW w:type="dxa" w:w="5920"/>
            <w:shd w:fill="E6EFFF"/>
          </w:tcPr>
          <w:p>
            <w:pPr>
              <w:pStyle w:val="TableHeader"/>
            </w:pPr>
            <w:r>
              <w:t>Časová hodnota minus platforma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18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5 500 Kč</w:t>
            </w:r>
          </w:p>
        </w:tc>
      </w:tr>
      <w:tr>
        <w:trPr>
          <w:cantSplit/>
        </w:trPr>
        <w:tc>
          <w:tcPr>
            <w:tcW w:type="dxa" w:w="3946"/>
            <w:shd w:fill="FAFAF9"/>
          </w:tcPr>
          <w:p>
            <w:pPr>
              <w:pStyle w:val="TableBody"/>
            </w:pPr>
            <w:r>
              <w:t>22 min / kontakt</w:t>
            </w:r>
          </w:p>
        </w:tc>
        <w:tc>
          <w:tcPr>
            <w:tcW w:type="dxa" w:w="5920"/>
            <w:shd w:fill="FAFAF9"/>
          </w:tcPr>
          <w:p>
            <w:pPr>
              <w:pStyle w:val="TableBody"/>
            </w:pPr>
            <w:r>
              <w:t>2 833 Kč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26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167 Kč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Při uvedených předpokladech je hranice vyrovnání přibližně 26,2 minuty na kontakt. Výpočet musí zahrnout kontrolu i opravy; počáteční nastavení se sleduje zvlášť.</w:t>
      </w:r>
    </w:p>
    <w:p>
      <w:pPr>
        <w:pStyle w:val="Heading2"/>
        <w:spacing w:before="140"/>
      </w:pPr>
      <w:r>
        <w:t>Jak posoudit obchodní přínos</w:t>
      </w:r>
    </w:p>
    <w:p>
      <w:pPr>
        <w:spacing w:after="80" w:line="269" w:lineRule="auto"/>
      </w:pPr>
      <w:r>
        <w:t>Uvolněný čas představuje kapacitu, nikoli automaticky hotovostní příjem. Návratnost nové akviziční kampaně se posuzuje proti příspěvku skutečně získané zakázky po variabilních nákladech. Úplný náklad zahrne platformu, oslovení, interní přípravu i navazující obchodní práci.</w:t>
      </w:r>
    </w:p>
    <w:p>
      <w:pPr>
        <w:pStyle w:val="Source"/>
        <w:keepNext w:val="0"/>
        <w:spacing w:before="100"/>
      </w:pPr>
      <w:r>
        <w:t>Autorský model pro tuto případovou studii. Skutečné vstupy a výsledky se doplní při ověření.</w:t>
      </w:r>
    </w:p>
    <w:p>
      <w:pPr>
        <w:pStyle w:val="Kicker"/>
        <w:pageBreakBefore/>
      </w:pPr>
      <w:r>
        <w:t>06 / OVĚŘENÍ A ZÁVĚR</w:t>
      </w:r>
    </w:p>
    <w:p>
      <w:pPr>
        <w:pStyle w:val="Heading1"/>
      </w:pPr>
      <w:r>
        <w:t>Jak ověřit</w:t>
        <w:br/>
        <w:t>navržené využití</w:t>
      </w:r>
    </w:p>
    <w:p>
      <w:pPr>
        <w:pStyle w:val="Lead"/>
        <w:spacing w:after="160"/>
      </w:pPr>
      <w:r>
        <w:t>Malý budoucí pilot má potvrdit kvalitu a náročnost postupu; nejde o záznam proběhlého testování.</w:t>
      </w:r>
    </w:p>
    <w:p>
      <w:pPr>
        <w:spacing w:after="80" w:line="269" w:lineRule="auto"/>
      </w:pPr>
      <w:r>
        <w:t>Začít deseti kontakty v simulaci. Po schválení nabídky, podkladů a obsahu lze samostatně uvolnit například pět skutečných dopisů. První reakce posoudit po 30 dnech, pozdější výsledky evidovat dál. Simulace se do skutečného oslovení nezapočítává.</w:t>
      </w:r>
    </w:p>
    <w:p>
      <w:pPr>
        <w:spacing w:after="80" w:line="269" w:lineRule="auto"/>
      </w:pPr>
      <w:r>
        <w:t>V první dávce používat pouze jeden scénář pro vodohospodářství. Zapisovat chyby propojení segmentu s technologií a čas oprav specialistou. Navazující reakce rozlišit na obecný dotaz, technické posouzení a domluvenou demonstraci; objednávku evidovat samostatně.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664"/>
        <w:gridCol w:w="7202"/>
      </w:tblGrid>
      <w:tr>
        <w:trPr>
          <w:cantSplit/>
          <w:tblHeader/>
        </w:trPr>
        <w:tc>
          <w:tcPr>
            <w:tcW w:type="dxa" w:w="2664"/>
            <w:shd w:fill="E6EFFF"/>
          </w:tcPr>
          <w:p>
            <w:pPr>
              <w:pStyle w:val="TableHeader"/>
            </w:pPr>
            <w:r>
              <w:t>Ukazatel</w:t>
            </w:r>
          </w:p>
        </w:tc>
        <w:tc>
          <w:tcPr>
            <w:tcW w:type="dxa" w:w="7202"/>
            <w:shd w:fill="E6EFFF"/>
          </w:tcPr>
          <w:p>
            <w:pPr>
              <w:pStyle w:val="TableHeader"/>
            </w:pPr>
            <w:r>
              <w:t>Co zaznamenat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Relevance a správnost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Vhodné profily / všechny posouzené profily; zvlášť počet a závažnost faktických chyb.</w:t>
            </w:r>
          </w:p>
        </w:tc>
      </w:tr>
      <w:tr>
        <w:trPr>
          <w:cantSplit/>
        </w:trPr>
        <w:tc>
          <w:tcPr>
            <w:tcW w:type="dxa" w:w="2664"/>
            <w:shd w:fill="FAFAF9"/>
          </w:tcPr>
          <w:p>
            <w:pPr>
              <w:pStyle w:val="TableBody"/>
            </w:pPr>
            <w:r>
              <w:t>Text a čas přípravy</w:t>
            </w:r>
          </w:p>
        </w:tc>
        <w:tc>
          <w:tcPr>
            <w:tcW w:type="dxa" w:w="7202"/>
            <w:shd w:fill="FAFAF9"/>
          </w:tcPr>
          <w:p>
            <w:pPr>
              <w:pStyle w:val="TableBody"/>
            </w:pPr>
            <w:r>
              <w:t>Návrhy bez obsahové úpravy / posouzené návrhy; celkový čas rešerše, návrhu, kontroly a oprav.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Kvalifikovaná reakce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Rozhovor o konkrétním inspekčním místě, požadovaných datech a současném postupu kontroly, na který může technik navázat posouzením. Zájem o katalog je samostatný, méně konkrétní výsledek.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Pracovní podmínka pokračování: alespoň osm z deseti profilů zákazník označí za vhodné, žádný finální text nemá kritickou věcnou chybu a celkový čas je přijatelný proti ručnímu postupu. Prahy jsou návrhem k potvrzení firmou. Malý vzorek neumožňuje spolehlivý odhad konverzí trhu.</w:t>
      </w:r>
    </w:p>
    <w:p>
      <w:pPr>
        <w:pStyle w:val="NoteTitle"/>
        <w:shd w:fill="F5F5F3"/>
      </w:pPr>
      <w:r>
        <w:t>Celkové analytické doporučení</w:t>
      </w:r>
    </w:p>
    <w:p>
      <w:pPr>
        <w:pStyle w:val="NoteBody"/>
        <w:shd w:fill="F5F5F3"/>
      </w:pPr>
      <w:r>
        <w:t>Pro COPTRZ je řešení použitelné především jako příprava oborově přesného technického kontaktu. Doporučujeme úzký scénář, schválené materiály a povinnou odbornou kontrolu. Rozšiřovat až po potvrzení, že výběr i text odpovídají reálně nabízenému použití a technik zvládá navazující práci.</w:t>
      </w:r>
    </w:p>
    <w:p>
      <w:pPr>
        <w:pStyle w:val="Heading2"/>
        <w:spacing w:before="140"/>
      </w:pPr>
      <w:r>
        <w:t>Podklady samostatné studie</w:t>
      </w:r>
    </w:p>
    <w:p>
      <w:pPr>
        <w:pStyle w:val="Source"/>
        <w:keepNext/>
        <w:spacing w:before="100"/>
      </w:pPr>
      <w:r>
        <w:t>[2] COPTRZ CZ - profil společnosti</w:t>
      </w:r>
    </w:p>
    <w:p>
      <w:pPr>
        <w:pStyle w:val="Source"/>
        <w:spacing w:before="100"/>
      </w:pPr>
      <w:hyperlink r:id="rId14">
        <w:r>
          <w:rPr>
            <w:color w:val="0066FF"/>
            <w:rFonts w:ascii="Geist" w:hAnsi="Geist"/>
          </w:rPr>
          <w:t>https://coptrz.cz/o-nas/</w:t>
        </w:r>
      </w:hyperlink>
    </w:p>
    <w:p>
      <w:pPr>
        <w:pStyle w:val="Source"/>
        <w:keepNext/>
        <w:spacing w:before="100"/>
      </w:pPr>
      <w:r>
        <w:t>[3] COPTRZ CZ - Flyability, inspekční využití</w:t>
      </w:r>
    </w:p>
    <w:p>
      <w:pPr>
        <w:pStyle w:val="Source"/>
        <w:spacing w:before="100"/>
      </w:pPr>
      <w:hyperlink r:id="rId15">
        <w:r>
          <w:rPr>
            <w:color w:val="0066FF"/>
            <w:rFonts w:ascii="Geist" w:hAnsi="Geist"/>
          </w:rPr>
          <w:t>https://coptrz.cz/flyability/</w:t>
        </w:r>
      </w:hyperlink>
    </w:p>
    <w:p>
      <w:pPr>
        <w:pStyle w:val="Source"/>
        <w:keepNext/>
        <w:spacing w:before="100"/>
      </w:pPr>
      <w:r>
        <w:t>[4] COPTRZ CZ - AVAG, práce s prostorovými daty</w:t>
      </w:r>
    </w:p>
    <w:p>
      <w:pPr>
        <w:pStyle w:val="Source"/>
        <w:spacing w:before="100"/>
      </w:pPr>
      <w:hyperlink r:id="rId16">
        <w:r>
          <w:rPr>
            <w:color w:val="0066FF"/>
            <w:rFonts w:ascii="Geist" w:hAnsi="Geist"/>
          </w:rPr>
          <w:t>https://coptrz.cz/avag/</w:t>
        </w:r>
      </w:hyperlink>
    </w:p>
    <w:p>
      <w:pPr>
        <w:pStyle w:val="Source"/>
        <w:keepNext/>
        <w:spacing w:before="100"/>
      </w:pPr>
      <w:r>
        <w:t>[8] GDPR - nařízení (EU) 2016/679, čl. 6, 14 a 21</w:t>
      </w:r>
    </w:p>
    <w:p>
      <w:pPr>
        <w:pStyle w:val="Source"/>
        <w:spacing w:before="100"/>
      </w:pPr>
      <w:hyperlink r:id="rId17">
        <w:r>
          <w:rPr>
            <w:color w:val="0066FF"/>
            <w:rFonts w:ascii="Geist" w:hAnsi="Geist"/>
          </w:rPr>
          <w:t>https://eur-lex.europa.eu/legal-content/CS/TXT/?uri=CELEX:32016R0679</w:t>
        </w:r>
      </w:hyperlink>
    </w:p>
    <w:p>
      <w:pPr>
        <w:spacing w:after="80" w:line="269" w:lineRule="auto"/>
      </w:pPr>
      <w:r>
        <w:t>[P1] Interní přehled STAV-FUNKCI-2026-10-05.html. Zadání a výběr firmy dodal projektový tým. Scénáře a dopis jsou autorské návrhy s podporou AI, nikoli schválené stanovisko firmy.</w:t>
      </w:r>
    </w:p>
    <w:p>
      <w:pPr>
        <w:pStyle w:val="Source"/>
        <w:keepNext w:val="0"/>
        <w:spacing w:before="100"/>
      </w:pPr>
      <w:r>
        <w:t>Studie využitelnosti / Delegating Systems s.r.o. / Delegat.ing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headerReference w:type="first" r:id="rId18"/>
      <w:pgSz w:w="11906" w:h="16838"/>
      <w:pgMar w:top="1361" w:right="1020" w:bottom="1020" w:left="102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</w:pPr>
    <w:r>
      <w:drawing>
        <wp:inline xmlns:a="http://schemas.openxmlformats.org/drawingml/2006/main" xmlns:pic="http://schemas.openxmlformats.org/drawingml/2006/picture">
          <wp:extent cx="1296000" cy="138672"/>
          <wp:docPr id="1" name="Picture 1" descr="Ilustrace vizuálního stylu Delegat.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6000" cy="138672"/>
                  </a:xfrm>
                  <a:prstGeom prst="rect"/>
                </pic:spPr>
              </pic:pic>
            </a:graphicData>
          </a:graphic>
        </wp:inline>
      </w:drawing>
    </w:r>
    <w:r>
      <w:tab/>
      <w:t>COPTRZ CZ / JVTP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240" w:hanging="200"/>
      </w:pPr>
      <w:rPr>
        <w:rFonts w:ascii="Geist" w:hAnsi="Geist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78" w:lineRule="auto"/>
    </w:pPr>
    <w:rPr>
      <w:rFonts w:ascii="Geist" w:hAnsi="Geist" w:eastAsia="Geist" w:cs="Geist"/>
      <w:b w:val="0"/>
      <w:i w:val="0"/>
      <w:color w:val="0A0A0A"/>
      <w:sz w:val="21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180" w:line="259" w:lineRule="auto"/>
      <w:outlineLvl w:val="0"/>
    </w:pPr>
    <w:rPr>
      <w:rFonts w:ascii="Geist" w:hAnsi="Geist" w:eastAsia="Geist" w:cs="Geist"/>
      <w:b/>
      <w:bCs/>
      <w:i w:val="0"/>
      <w:color w:val="0A0A0A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80" w:line="259" w:lineRule="auto"/>
      <w:outlineLvl w:val="1"/>
    </w:pPr>
    <w:rPr>
      <w:rFonts w:ascii="Geist" w:hAnsi="Geist" w:eastAsia="Geist" w:cs="Geist"/>
      <w:b/>
      <w:bCs/>
      <w:i w:val="0"/>
      <w:color w:val="0A0A0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59" w:lineRule="auto"/>
      <w:outlineLvl w:val="2"/>
    </w:pPr>
    <w:rPr>
      <w:rFonts w:ascii="Geist" w:hAnsi="Geist" w:eastAsia="Geist" w:cs="Geist"/>
      <w:b/>
      <w:bCs/>
      <w:i w:val="0"/>
      <w:color w:val="0A0A0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300" w:line="252" w:lineRule="auto" w:before="0"/>
      <w:contextualSpacing/>
    </w:pPr>
    <w:rPr>
      <w:rFonts w:ascii="Geist" w:hAnsi="Geist" w:eastAsia="Geist" w:cs="Geist"/>
      <w:b w:val="0"/>
      <w:i w:val="0"/>
      <w:color w:val="0A0A0A"/>
      <w:spacing w:val="5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80" w:line="288" w:lineRule="auto"/>
    </w:pPr>
    <w:rPr>
      <w:rFonts w:ascii="Geist" w:hAnsi="Geist" w:eastAsia="Geist" w:cs="Geist"/>
      <w:b w:val="0"/>
      <w:i w:val="0"/>
      <w:iCs/>
      <w:color w:val="525252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basedOn w:val="Normal"/>
    <w:pPr>
      <w:keepNext/>
      <w:widowControl/>
      <w:spacing w:before="0" w:after="140" w:line="240" w:lineRule="auto"/>
    </w:pPr>
    <w:rPr>
      <w:rFonts w:ascii="Geist" w:hAnsi="Geist" w:eastAsia="Geist" w:cs="Geist"/>
      <w:b/>
      <w:i w:val="0"/>
      <w:color w:val="0066FF"/>
      <w:sz w:val="16"/>
    </w:rPr>
  </w:style>
  <w:style w:type="paragraph" w:customStyle="1" w:styleId="Lead">
    <w:name w:val="Lead"/>
    <w:basedOn w:val="Normal"/>
    <w:pPr>
      <w:widowControl/>
      <w:spacing w:before="0" w:after="240" w:line="288" w:lineRule="auto"/>
    </w:pPr>
    <w:rPr>
      <w:rFonts w:ascii="Geist" w:hAnsi="Geist" w:eastAsia="Geist" w:cs="Geist"/>
      <w:b w:val="0"/>
      <w:i w:val="0"/>
      <w:color w:val="525252"/>
      <w:sz w:val="23"/>
    </w:rPr>
  </w:style>
  <w:style w:type="paragraph" w:customStyle="1" w:styleId="StudyBullet">
    <w:name w:val="Study Bullet"/>
    <w:basedOn w:val="Normal"/>
    <w:pPr>
      <w:widowControl/>
      <w:spacing w:before="0" w:after="80" w:line="278" w:lineRule="auto"/>
      <w:ind w:left="240" w:hanging="200"/>
    </w:pPr>
    <w:rPr>
      <w:rFonts w:ascii="Geist" w:hAnsi="Geist" w:eastAsia="Geist" w:cs="Geist"/>
      <w:b w:val="0"/>
      <w:i w:val="0"/>
      <w:color w:val="0A0A0A"/>
      <w:sz w:val="21"/>
    </w:rPr>
  </w:style>
  <w:style w:type="paragraph" w:customStyle="1" w:styleId="Source">
    <w:name w:val="Source"/>
    <w:basedOn w:val="Normal"/>
    <w:pPr>
      <w:widowControl/>
      <w:spacing w:before="180" w:after="0" w:line="269" w:lineRule="auto"/>
    </w:pPr>
    <w:rPr>
      <w:rFonts w:ascii="Geist" w:hAnsi="Geist" w:eastAsia="Geist" w:cs="Geist"/>
      <w:b w:val="0"/>
      <w:i w:val="0"/>
      <w:color w:val="525252"/>
      <w:sz w:val="15"/>
    </w:rPr>
  </w:style>
  <w:style w:type="paragraph" w:customStyle="1" w:styleId="TableBody">
    <w:name w:val="Table Body"/>
    <w:basedOn w:val="Normal"/>
    <w:pPr>
      <w:widowControl/>
      <w:spacing w:before="0" w:after="0" w:line="276" w:lineRule="auto"/>
    </w:pPr>
    <w:rPr>
      <w:rFonts w:ascii="Geist" w:hAnsi="Geist" w:eastAsia="Geist" w:cs="Geist"/>
      <w:b w:val="0"/>
      <w:i w:val="0"/>
      <w:color w:val="0A0A0A"/>
      <w:sz w:val="18"/>
    </w:rPr>
  </w:style>
  <w:style w:type="paragraph" w:customStyle="1" w:styleId="TableHeader">
    <w:name w:val="Table Header"/>
    <w:basedOn w:val="Normal"/>
    <w:pPr>
      <w:widowControl/>
      <w:spacing w:before="0" w:after="0" w:line="276" w:lineRule="auto"/>
    </w:pPr>
    <w:rPr>
      <w:rFonts w:ascii="Geist" w:hAnsi="Geist" w:eastAsia="Geist" w:cs="Geist"/>
      <w:b/>
      <w:i w:val="0"/>
      <w:color w:val="0066FF"/>
      <w:sz w:val="17"/>
    </w:rPr>
  </w:style>
  <w:style w:type="paragraph" w:customStyle="1" w:styleId="TableGap">
    <w:name w:val="Table Gap"/>
    <w:basedOn w:val="Normal"/>
    <w:pPr>
      <w:widowControl/>
      <w:spacing w:before="0" w:after="80" w:line="240" w:lineRule="auto"/>
    </w:pPr>
    <w:rPr>
      <w:rFonts w:ascii="Geist" w:hAnsi="Geist" w:eastAsia="Geist" w:cs="Geist"/>
      <w:b w:val="0"/>
      <w:i w:val="0"/>
      <w:color w:val="525252"/>
      <w:sz w:val="4"/>
    </w:rPr>
  </w:style>
  <w:style w:type="paragraph" w:customStyle="1" w:styleId="NoteTitle">
    <w:name w:val="Note Title"/>
    <w:basedOn w:val="Normal"/>
    <w:pPr>
      <w:keepNext/>
      <w:widowControl/>
      <w:spacing w:before="100" w:after="6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NoteBody">
    <w:name w:val="Note Body"/>
    <w:basedOn w:val="Normal"/>
    <w:pPr>
      <w:widowControl/>
      <w:spacing w:before="0" w:after="140" w:line="288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Title">
    <w:name w:val="Letter Title"/>
    <w:basedOn w:val="Normal"/>
    <w:pPr>
      <w:keepNext/>
      <w:widowControl/>
      <w:spacing w:before="0" w:after="12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LetterBody">
    <w:name w:val="Letter Body"/>
    <w:basedOn w:val="Normal"/>
    <w:pPr>
      <w:widowControl/>
      <w:spacing w:before="0" w:after="100" w:line="276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Kicker">
    <w:name w:val="Letter Kicker"/>
    <w:basedOn w:val="Normal"/>
    <w:pPr>
      <w:keepNext/>
      <w:widowControl/>
      <w:spacing w:before="140" w:after="80" w:line="240" w:lineRule="auto"/>
      <w:ind w:left="180" w:right="180"/>
    </w:pPr>
    <w:rPr>
      <w:rFonts w:ascii="Geist" w:hAnsi="Geist" w:eastAsia="Geist" w:cs="Geist"/>
      <w:b/>
      <w:i w:val="0"/>
      <w:color w:val="0066FF"/>
      <w:sz w:val="15"/>
    </w:rPr>
  </w:style>
  <w:style w:type="paragraph" w:customStyle="1" w:styleId="CoverMeta">
    <w:name w:val="Cover Meta"/>
    <w:basedOn w:val="Normal"/>
    <w:pPr>
      <w:widowControl/>
      <w:spacing w:before="0" w:after="120" w:line="288" w:lineRule="auto"/>
    </w:pPr>
    <w:rPr>
      <w:rFonts w:ascii="Geist" w:hAnsi="Geist" w:eastAsia="Geist" w:cs="Geist"/>
      <w:b w:val="0"/>
      <w:i w:val="0"/>
      <w:color w:val="525252"/>
      <w:sz w:val="20"/>
    </w:rPr>
  </w:style>
  <w:style w:type="paragraph" w:customStyle="1" w:styleId="CoverStats">
    <w:name w:val="Cover Stats"/>
    <w:basedOn w:val="Normal"/>
    <w:pPr>
      <w:widowControl/>
      <w:spacing w:before="0" w:after="240" w:line="288" w:lineRule="auto"/>
    </w:pPr>
    <w:rPr>
      <w:rFonts w:ascii="Geist" w:hAnsi="Geist" w:eastAsia="Geist" w:cs="Geist"/>
      <w:b/>
      <w:i w:val="0"/>
      <w:color w:val="0066FF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coptrz.cz/o-nas/" TargetMode="External"/><Relationship Id="rId15" Type="http://schemas.openxmlformats.org/officeDocument/2006/relationships/hyperlink" Target="https://coptrz.cz/flyability/" TargetMode="External"/><Relationship Id="rId16" Type="http://schemas.openxmlformats.org/officeDocument/2006/relationships/hyperlink" Target="https://coptrz.cz/avag/" TargetMode="External"/><Relationship Id="rId17" Type="http://schemas.openxmlformats.org/officeDocument/2006/relationships/hyperlink" Target="https://eur-lex.europa.eu/legal-content/CS/TXT/?uri=CELEX:32016R0679" TargetMode="External"/><Relationship Id="rId18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COPTRZ CZ / Studie využitelnosti Delegat.ing</dc:title>
  <dc:subject>Samostatná případová studie / COPTRZ CZ / JVTP / verze 1.0</dc:subject>
  <dc:creator>Delegating Systems s.r.o.</dc:creator>
  <cp:keywords/>
  <dc:description>generated by python-docx</dc:description>
  <cp:lastModifiedBy/>
  <cp:revision>1</cp:revision>
  <cp:category/>
  <dc:language>cs-CZ</dc:language>
</cp:coreProperties>
</file>