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60"/>
      </w:pPr>
      <w:r>
        <w:drawing>
          <wp:inline xmlns:a="http://schemas.openxmlformats.org/drawingml/2006/main" xmlns:pic="http://schemas.openxmlformats.org/drawingml/2006/picture">
            <wp:extent cx="2988000" cy="319716"/>
            <wp:docPr id="1" name="Picture 1" descr="Ilustrace vizuálního stylu Delegat.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8000" cy="3197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Kicker"/>
      </w:pPr>
      <w:r>
        <w:t>JVTP / SAMOSTATNÁ PŘÍPADOVÁ STUDIE / 03</w:t>
      </w:r>
    </w:p>
    <w:p>
      <w:pPr>
        <w:pStyle w:val="Title"/>
      </w:pPr>
      <w:r>
        <w:t>Naučíme AI</w:t>
        <w:br/>
        <w:t>Případová</w:t>
        <w:br/>
        <w:t>studie</w:t>
      </w:r>
    </w:p>
    <w:p>
      <w:pPr>
        <w:pStyle w:val="Subtitle"/>
      </w:pPr>
      <w:r>
        <w:t>Firemní AI workshopy a vzdělávání</w:t>
      </w:r>
    </w:p>
    <w:p>
      <w:pPr>
        <w:pStyle w:val="CoverMeta"/>
      </w:pPr>
      <w:r>
        <w:t>Od oborových pracovních příkladů</w:t>
        <w:br/>
        <w:t>k vhodně zadanému firemnímu workshopu.</w:t>
      </w:r>
    </w:p>
    <w:p>
      <w:pPr>
        <w:pStyle w:val="CoverMeta"/>
        <w:spacing w:after="400"/>
      </w:pPr>
      <w:r>
        <w:t>Studie využitelnosti Delegat.ing</w:t>
        <w:br/>
        <w:t>pro personalizovanou B2B akvizici.</w:t>
      </w:r>
    </w:p>
    <w:p>
      <w:pPr>
        <w:spacing w:after="200"/>
      </w:pPr>
      <w:r>
        <w:drawing>
          <wp:inline xmlns:a="http://schemas.openxmlformats.org/drawingml/2006/main" xmlns:pic="http://schemas.openxmlformats.org/drawingml/2006/picture">
            <wp:extent cx="900000" cy="1619388"/>
            <wp:docPr id="2" name="Picture 2" descr="Ilustrace vizuálního stylu Delegat.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me-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16193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overStats"/>
      </w:pPr>
      <w:r>
        <w:t>3 profily  /  1 kampaň  /  1 modelový dopis</w:t>
      </w:r>
    </w:p>
    <w:p>
      <w:pPr>
        <w:pStyle w:val="CoverMeta"/>
      </w:pPr>
      <w:r>
        <w:t>Zpracovatel: Delegating Systems s.r.o.</w:t>
        <w:br/>
        <w:t>Verze 1.0 / samostatný dokument</w:t>
        <w:br/>
        <w:t>Podklad pro představení projektu JVTP</w:t>
      </w:r>
    </w:p>
    <w:p>
      <w:pPr>
        <w:pStyle w:val="Kicker"/>
        <w:pageBreakBefore/>
      </w:pPr>
      <w:r>
        <w:t>01 / FIRMA A ZÁKAZNÍCI</w:t>
      </w:r>
    </w:p>
    <w:p>
      <w:pPr>
        <w:pStyle w:val="Heading1"/>
      </w:pPr>
      <w:r>
        <w:t>Naučíme AI / příležitost</w:t>
      </w:r>
    </w:p>
    <w:p>
      <w:pPr>
        <w:pStyle w:val="Lead"/>
        <w:spacing w:after="160"/>
      </w:pPr>
      <w:r>
        <w:t>Jak představit školení jazykem konkrétního oboru a otevřít rozhovor o potřebách týmu.</w:t>
      </w:r>
    </w:p>
    <w:p>
      <w:pPr>
        <w:pStyle w:val="Heading2"/>
        <w:spacing w:before="140"/>
      </w:pPr>
      <w:r>
        <w:t>Rozsah posouzení</w:t>
      </w:r>
    </w:p>
    <w:p>
      <w:pPr>
        <w:spacing w:after="80" w:line="269" w:lineRule="auto"/>
      </w:pPr>
      <w:r>
        <w:t>Analýza vychází z veřejně prezentované nabídky firmy a popsaného modulu Outreach v Delegat.ing. Cílové profily, kampaň a přínosy jsou návrhy zpracovatele. Studie neobsahuje zákaznické rozhovory ani výsledky proběhlého pilotu; jejich ověření je navrženo v závěru.</w:t>
      </w:r>
    </w:p>
    <w:p>
      <w:pPr>
        <w:pStyle w:val="Heading2"/>
        <w:spacing w:before="140"/>
      </w:pPr>
      <w:r>
        <w:t>Doložená nabídka a navržený cíl</w:t>
      </w:r>
    </w:p>
    <w:p>
      <w:pPr>
        <w:spacing w:after="80" w:line="269" w:lineRule="auto"/>
      </w:pPr>
      <w:r>
        <w:t>Naučíme AI veřejně představuje kurzy, workshopy na míru pro firmy, konzultace a navazující komunitu. [5] Studie se zaměřuje na B2B nabídku vzdělávání. Navrženým cílem je rozhovor o konkrétních dovednostech a vhodném formátu školení pro tým.</w:t>
      </w:r>
    </w:p>
    <w:p>
      <w:pPr>
        <w:pStyle w:val="Heading2"/>
        <w:spacing w:before="140"/>
      </w:pPr>
      <w:r>
        <w:t>Tři modelové zákaznické profily</w:t>
      </w:r>
    </w:p>
    <w:p>
      <w:pPr>
        <w:pStyle w:val="StudyBullet"/>
        <w:numPr>
          <w:ilvl w:val="0"/>
          <w:numId w:val="10"/>
        </w:numPr>
      </w:pPr>
      <w:r>
        <w:t>Účetní nebo poradenská kancelář. Veřejná nabídka potvrzuje práci s podnikatelskými klienty. Oslovení představí možné využití AI při přípravě komunikace a obecných pracovních podkladů. Práce s klientskými daty a odborná kontrola vyžadují vlastní pravidla.</w:t>
      </w:r>
    </w:p>
    <w:p>
      <w:pPr>
        <w:pStyle w:val="StudyBullet"/>
        <w:numPr>
          <w:ilvl w:val="0"/>
          <w:numId w:val="10"/>
        </w:numPr>
      </w:pPr>
      <w:r>
        <w:t>Stavební firma. Doložená činnost umožní použít příklady přípravy nabídek, zápisů a projektové komunikace. Dopis nabídne rozhovor o skutečných potřebách týmu; neodvozuje jejich současné dovednosti ani podobu interních dokumentů.</w:t>
      </w:r>
    </w:p>
    <w:p>
      <w:pPr>
        <w:pStyle w:val="StudyBullet"/>
        <w:numPr>
          <w:ilvl w:val="0"/>
          <w:numId w:val="10"/>
        </w:numPr>
      </w:pPr>
      <w:r>
        <w:t>Marketingová agentura. Veřejná nabídka poskytne kontext pro varianty obsahu, rešerše a návrhy kampaní. Hodnota školení závisí na úrovni týmu a návaznosti na jeho proces. U pokročilé agentury může být základní kurz nevhodný.</w:t>
      </w:r>
    </w:p>
    <w:p>
      <w:pPr>
        <w:pStyle w:val="Heading2"/>
        <w:spacing w:before="140"/>
      </w:pPr>
      <w:r>
        <w:t>Navržená kampaň v Delegat.ing</w:t>
      </w:r>
    </w:p>
    <w:p>
      <w:pPr>
        <w:spacing w:after="80" w:line="269" w:lineRule="auto"/>
      </w:pPr>
      <w:r>
        <w:t>Začít jedním oborem a jedním schváleným workshopem. Lektor doplní skutečný obsah a limity kurzu. Rešerše doloží činnost firmy a dostupnou odpovědnou roli. Dopis použije několik příkladů odpovídajících oboru a nabídne diagnostický rozhovor před sestavením nabídky.</w:t>
      </w:r>
    </w:p>
    <w:p>
      <w:pPr>
        <w:pStyle w:val="Heading2"/>
        <w:spacing w:before="140"/>
      </w:pPr>
      <w:r>
        <w:t>Očekávané přínosy</w:t>
      </w:r>
    </w:p>
    <w:p>
      <w:pPr>
        <w:pStyle w:val="StudyBullet"/>
        <w:numPr>
          <w:ilvl w:val="0"/>
          <w:numId w:val="10"/>
        </w:numPr>
      </w:pPr>
      <w:r>
        <w:t>Srozumitelnější propojení školení s každodenní prací osloveného týmu.</w:t>
      </w:r>
    </w:p>
    <w:p>
      <w:pPr>
        <w:pStyle w:val="StudyBullet"/>
        <w:numPr>
          <w:ilvl w:val="0"/>
          <w:numId w:val="10"/>
        </w:numPr>
      </w:pPr>
      <w:r>
        <w:t>Opakovatelná příprava oborových variant při zachování skutečného obsahu kurzu.</w:t>
      </w:r>
    </w:p>
    <w:p>
      <w:pPr>
        <w:pStyle w:val="StudyBullet"/>
        <w:numPr>
          <w:ilvl w:val="0"/>
          <w:numId w:val="10"/>
        </w:numPr>
      </w:pPr>
      <w:r>
        <w:t>Podklad pro úvodní rozhovor o dovednostech, prioritách a vhodném formátu.</w:t>
      </w:r>
    </w:p>
    <w:p>
      <w:pPr>
        <w:pStyle w:val="NoteTitle"/>
        <w:shd w:fill="F5F5F3"/>
      </w:pPr>
      <w:r>
        <w:t>Analytické posouzení</w:t>
      </w:r>
    </w:p>
    <w:p>
      <w:pPr>
        <w:pStyle w:val="NoteBody"/>
        <w:shd w:fill="F5F5F3"/>
      </w:pPr>
      <w:r>
        <w:t>Vhodné pro ověření relevance textu a správnosti příkladů. Nejprve zkoumat zájem o rozhovor; skutečné výsledky vzdělávání vyžadují samostatné vyhodnocení.</w:t>
      </w:r>
    </w:p>
    <w:p>
      <w:pPr>
        <w:pStyle w:val="Source"/>
        <w:keepNext w:val="0"/>
        <w:spacing w:before="100"/>
      </w:pPr>
      <w:r>
        <w:t>Veřejný profil služeb: Naučíme AI [5]. Segmenty a nabídka kampaně jsou analytické návrhy.</w:t>
      </w:r>
    </w:p>
    <w:p>
      <w:pPr>
        <w:pStyle w:val="Kicker"/>
        <w:pageBreakBefore/>
      </w:pPr>
      <w:r>
        <w:t>02 / KONKRÉTNÍ KAMPAŇ</w:t>
      </w:r>
    </w:p>
    <w:p>
      <w:pPr>
        <w:pStyle w:val="Heading1"/>
      </w:pPr>
      <w:r>
        <w:t>Naučíme AI / kampaň</w:t>
      </w:r>
    </w:p>
    <w:p>
      <w:pPr>
        <w:pStyle w:val="Lead"/>
      </w:pPr>
      <w:r>
        <w:t>Představit oborové příklady a nejprve zjistit úroveň a potřeby týmu.</w:t>
      </w:r>
    </w:p>
    <w:p>
      <w:pPr>
        <w:pStyle w:val="LetterKicker"/>
        <w:shd w:fill="F0F5FF"/>
      </w:pPr>
      <w:r>
        <w:t>MODELOVÁ UKÁZKA / HYPOTETICKÝ ADRESÁT</w:t>
      </w:r>
    </w:p>
    <w:p>
      <w:pPr>
        <w:pStyle w:val="LetterTitle"/>
        <w:shd w:fill="F0F5FF"/>
      </w:pPr>
      <w:r>
        <w:t>AI workshop pro práci vašeho stavebního týmu</w:t>
      </w:r>
    </w:p>
    <w:p>
      <w:pPr>
        <w:pStyle w:val="LetterBody"/>
        <w:shd w:fill="F0F5FF"/>
      </w:pPr>
      <w:r>
        <w:t>Vážené vedení společnosti,</w:t>
      </w:r>
    </w:p>
    <w:p>
      <w:pPr>
        <w:pStyle w:val="LetterBody"/>
        <w:shd w:fill="F0F5FF"/>
      </w:pPr>
      <w:r>
        <w:t>připravujeme firemní AI workshopy zaměřené na praktické využití při každodenní práci. Pro stavební tým může být zajímavá například příprava variant obchodní nabídky, zápisů nebo pracovních podkladů.</w:t>
      </w:r>
    </w:p>
    <w:p>
      <w:pPr>
        <w:pStyle w:val="LetterBody"/>
        <w:shd w:fill="F0F5FF"/>
      </w:pPr>
      <w:r>
        <w:t>Vhodný obsah se ale odvíjí od toho, s jakými úkoly váš tým skutečně pracuje a jaké zkušenosti s AI už má. Proto navrhujeme nejprve krátký rozhovor o potřebách a výchozí úrovni.</w:t>
      </w:r>
    </w:p>
    <w:p>
      <w:pPr>
        <w:pStyle w:val="LetterBody"/>
        <w:shd w:fill="F0F5FF"/>
      </w:pPr>
      <w:r>
        <w:t>Na jeho základě bychom mohli doporučit formát workshopu a vybrat příklady, které odpovídají vašemu provozu. Součástí přípravy má být také domluva na zacházení s firemními a klientskými daty.</w:t>
      </w:r>
    </w:p>
    <w:p>
      <w:pPr>
        <w:pStyle w:val="LetterBody"/>
        <w:shd w:fill="F0F5FF"/>
      </w:pPr>
      <w:r>
        <w:t>Pokud vás téma zajímá, ozvěte se prostřednictvím naucime.ai.</w:t>
      </w:r>
    </w:p>
    <w:p>
      <w:pPr>
        <w:pStyle w:val="LetterBody"/>
        <w:shd w:fill="F0F5FF"/>
      </w:pPr>
      <w:r>
        <w:t>Tým Naučíme AI</w:t>
      </w:r>
    </w:p>
    <w:p>
      <w:pPr>
        <w:pStyle w:val="Heading2"/>
      </w:pPr>
      <w:r>
        <w:t>Proč je oslovení personalizované</w:t>
      </w:r>
    </w:p>
    <w:p>
      <w:r>
        <w:t>Příklady odpovídají modelové stavební firmě. Dopis neoznačuje tým za začátečníky a neuvádí měřitelnou úsporu bez důkazu. Výsledná nabídka vznikne až po zjištění potřeb.</w:t>
      </w:r>
    </w:p>
    <w:p>
      <w:pPr>
        <w:pStyle w:val="Heading2"/>
      </w:pPr>
      <w:r>
        <w:t>Omezení a nevhodné použití</w:t>
      </w:r>
    </w:p>
    <w:p>
      <w:pPr>
        <w:pStyle w:val="StudyBullet"/>
        <w:numPr>
          <w:ilvl w:val="0"/>
          <w:numId w:val="10"/>
        </w:numPr>
      </w:pPr>
      <w:r>
        <w:t>Zařazení podle oboru neodhalí úroveň uživatelů. Příliš základní nebo příliš pokročilá nabídka sníží relevanci.</w:t>
      </w:r>
    </w:p>
    <w:p>
      <w:pPr>
        <w:pStyle w:val="StudyBullet"/>
        <w:numPr>
          <w:ilvl w:val="0"/>
          <w:numId w:val="10"/>
        </w:numPr>
      </w:pPr>
      <w:r>
        <w:t>Text nesmí slibovat obsah, který konkrétní workshop nepokrývá, ani prezentovat AI jako náhradu odborné odpovědnosti.</w:t>
      </w:r>
    </w:p>
    <w:p>
      <w:pPr>
        <w:pStyle w:val="StudyBullet"/>
        <w:numPr>
          <w:ilvl w:val="0"/>
          <w:numId w:val="10"/>
        </w:numPr>
      </w:pPr>
      <w:r>
        <w:t>B2B listovní kampaň není v této studii posouzená jako vhodný postup pro hromadný nábor jednotlivců do veřejných kurzů.</w:t>
      </w:r>
    </w:p>
    <w:p>
      <w:pPr>
        <w:pStyle w:val="Heading2"/>
      </w:pPr>
      <w:r>
        <w:t>Co dodat a co ověřit v pilotu</w:t>
      </w:r>
    </w:p>
    <w:p>
      <w:r>
        <w:t>Naučíme AI dodá osnovu kurzu, oborové příklady, požadavky na účastníky a dostupné termíny. Pilot sleduje věcnou správnost příkladů, potřebu úprav lektorem, zájem o rozhovor a shodu mezi očekáváním adresáta a skutečnou nabídkou.</w:t>
      </w:r>
    </w:p>
    <w:p>
      <w:pPr>
        <w:pStyle w:val="NoteTitle"/>
        <w:shd w:fill="F5F5F3"/>
      </w:pPr>
      <w:r>
        <w:t>Rozhodnutí po první dávce</w:t>
      </w:r>
    </w:p>
    <w:p>
      <w:pPr>
        <w:pStyle w:val="NoteBody"/>
        <w:shd w:fill="F5F5F3"/>
      </w:pPr>
      <w:r>
        <w:t>Pokračovat u segmentu, kde vznikají konkrétní dotazy na práci týmu. Pokud reakce ukazují jinou úroveň nebo potřebu, upravit nabídku před dalším oslovením.</w:t>
      </w:r>
    </w:p>
    <w:p>
      <w:pPr>
        <w:pStyle w:val="Source"/>
        <w:keepNext w:val="0"/>
      </w:pPr>
      <w:r>
        <w:t>Autorská modelová ukázka; adresát je hypotetický. Nejde o potvrzenou nabídku konkrétního termínu kurzu.</w:t>
      </w:r>
    </w:p>
    <w:p>
      <w:pPr>
        <w:pStyle w:val="Kicker"/>
        <w:pageBreakBefore/>
      </w:pPr>
      <w:r>
        <w:t>03 / PRAKTICKÝ POSTUP</w:t>
      </w:r>
    </w:p>
    <w:p>
      <w:pPr>
        <w:pStyle w:val="Heading1"/>
      </w:pPr>
      <w:r>
        <w:t>Od zadání</w:t>
        <w:br/>
        <w:t>ke schválenému výstupu</w:t>
      </w:r>
    </w:p>
    <w:p>
      <w:pPr>
        <w:pStyle w:val="Lead"/>
        <w:spacing w:after="160"/>
      </w:pPr>
      <w:r>
        <w:t>Jeden scénář, dohledatelné podklady a konkrétní lidská rozhodnutí.</w:t>
      </w:r>
    </w:p>
    <w:p>
      <w:pPr>
        <w:pStyle w:val="Heading2"/>
        <w:spacing w:before="140"/>
      </w:pPr>
      <w:r>
        <w:t>Co připravit předem</w:t>
      </w:r>
    </w:p>
    <w:p>
      <w:pPr>
        <w:spacing w:after="80" w:line="269" w:lineRule="auto"/>
      </w:pPr>
      <w:r>
        <w:t>Naučíme AI dodá schválenou osnovu workshopu, příklady odpovídající oboru, vstupní požadavky a dostupnou kapacitu lektorů. Důležité je vymezit, pro koho kurz je, co skutečně pokrývá a jak se upravuje pro firmu. Reference nebo výsledky vzdělávání se použijí pouze tehdy, pokud jsou doložené a určené ke zveřejnění.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2466"/>
        <w:gridCol w:w="7400"/>
      </w:tblGrid>
      <w:tr>
        <w:trPr>
          <w:cantSplit/>
          <w:tblHeader/>
        </w:trPr>
        <w:tc>
          <w:tcPr>
            <w:tcW w:type="dxa" w:w="2466"/>
            <w:shd w:fill="E6EFFF"/>
          </w:tcPr>
          <w:p>
            <w:pPr>
              <w:pStyle w:val="TableHeader"/>
            </w:pPr>
            <w:r>
              <w:t>Krok</w:t>
            </w:r>
          </w:p>
        </w:tc>
        <w:tc>
          <w:tcPr>
            <w:tcW w:type="dxa" w:w="7400"/>
            <w:shd w:fill="E6EFFF"/>
          </w:tcPr>
          <w:p>
            <w:pPr>
              <w:pStyle w:val="TableHeader"/>
            </w:pPr>
            <w:r>
              <w:t>Výstup a rozhodnutí</w:t>
            </w:r>
          </w:p>
        </w:tc>
      </w:tr>
      <w:tr>
        <w:trPr>
          <w:cantSplit/>
        </w:trPr>
        <w:tc>
          <w:tcPr>
            <w:tcW w:type="dxa" w:w="2466"/>
            <w:shd w:fill="FFFFFF"/>
          </w:tcPr>
          <w:p>
            <w:pPr>
              <w:pStyle w:val="TableBody"/>
            </w:pPr>
            <w:r>
              <w:t>1 / Zadání nabídky</w:t>
            </w:r>
          </w:p>
        </w:tc>
        <w:tc>
          <w:tcPr>
            <w:tcW w:type="dxa" w:w="7400"/>
            <w:shd w:fill="FFFFFF"/>
          </w:tcPr>
          <w:p>
            <w:pPr>
              <w:pStyle w:val="TableBody"/>
            </w:pPr>
            <w:r>
              <w:t>Vybrat jeden firemní workshop a jeden obor. Určit vstupní úroveň, obsah a podobu rozhovoru, který má předcházet konkrétní nabídce.</w:t>
            </w:r>
          </w:p>
        </w:tc>
      </w:tr>
      <w:tr>
        <w:trPr>
          <w:cantSplit/>
        </w:trPr>
        <w:tc>
          <w:tcPr>
            <w:tcW w:type="dxa" w:w="2466"/>
            <w:shd w:fill="FAFAF9"/>
          </w:tcPr>
          <w:p>
            <w:pPr>
              <w:pStyle w:val="TableBody"/>
            </w:pPr>
            <w:r>
              <w:t>2 / Výběr kontaktů</w:t>
            </w:r>
          </w:p>
        </w:tc>
        <w:tc>
          <w:tcPr>
            <w:tcW w:type="dxa" w:w="7400"/>
            <w:shd w:fill="FAFAF9"/>
          </w:tcPr>
          <w:p>
            <w:pPr>
              <w:pStyle w:val="TableBody"/>
            </w:pPr>
            <w:r>
              <w:t>Ověřit stavební činnost firmy a dostupnou odpovědnou roli. Neodvozovat počet účastníků ani zkušenosti s AI z velikosti nebo vzhledu webu.</w:t>
            </w:r>
          </w:p>
        </w:tc>
      </w:tr>
      <w:tr>
        <w:trPr>
          <w:cantSplit/>
        </w:trPr>
        <w:tc>
          <w:tcPr>
            <w:tcW w:type="dxa" w:w="2466"/>
            <w:shd w:fill="FFFFFF"/>
          </w:tcPr>
          <w:p>
            <w:pPr>
              <w:pStyle w:val="TableBody"/>
            </w:pPr>
            <w:r>
              <w:t>3 / Rešerše</w:t>
            </w:r>
          </w:p>
        </w:tc>
        <w:tc>
          <w:tcPr>
            <w:tcW w:type="dxa" w:w="7400"/>
            <w:shd w:fill="FFFFFF"/>
          </w:tcPr>
          <w:p>
            <w:pPr>
              <w:pStyle w:val="TableBody"/>
            </w:pPr>
            <w:r>
              <w:t>Zachytit doložené zaměření firmy. Vybrat pouze pracovní příklady, které odpovídají oboru i skutečnému obsahu workshopu.</w:t>
            </w:r>
          </w:p>
        </w:tc>
      </w:tr>
      <w:tr>
        <w:trPr>
          <w:cantSplit/>
        </w:trPr>
        <w:tc>
          <w:tcPr>
            <w:tcW w:type="dxa" w:w="2466"/>
            <w:shd w:fill="FAFAF9"/>
          </w:tcPr>
          <w:p>
            <w:pPr>
              <w:pStyle w:val="TableBody"/>
            </w:pPr>
            <w:r>
              <w:t>4 / Text a kontrola</w:t>
            </w:r>
          </w:p>
        </w:tc>
        <w:tc>
          <w:tcPr>
            <w:tcW w:type="dxa" w:w="7400"/>
            <w:shd w:fill="FAFAF9"/>
          </w:tcPr>
          <w:p>
            <w:pPr>
              <w:pStyle w:val="TableBody"/>
            </w:pPr>
            <w:r>
              <w:t>Nabídnout rozhovor o potřebách a výchozí úrovni týmu. Lektor potvrdí příklady, hranice kurzu a formulace o firemních datech.</w:t>
            </w:r>
          </w:p>
        </w:tc>
      </w:tr>
      <w:tr>
        <w:trPr>
          <w:cantSplit/>
        </w:trPr>
        <w:tc>
          <w:tcPr>
            <w:tcW w:type="dxa" w:w="2466"/>
            <w:shd w:fill="FFFFFF"/>
          </w:tcPr>
          <w:p>
            <w:pPr>
              <w:pStyle w:val="TableBody"/>
            </w:pPr>
            <w:r>
              <w:t>5 / Výstup a reakce</w:t>
            </w:r>
          </w:p>
        </w:tc>
        <w:tc>
          <w:tcPr>
            <w:tcW w:type="dxa" w:w="7400"/>
            <w:shd w:fill="FFFFFF"/>
          </w:tcPr>
          <w:p>
            <w:pPr>
              <w:pStyle w:val="TableBody"/>
            </w:pPr>
            <w:r>
              <w:t>Schválit a připravit PDF. Reakci doplnit o úkoly týmu, očekávání a formát školení; konkrétní termín nebo nabídku řešit až po rozhovoru.</w:t>
            </w:r>
          </w:p>
        </w:tc>
      </w:tr>
    </w:tbl>
    <w:p>
      <w:pPr>
        <w:pStyle w:val="TableGap"/>
      </w:pPr>
    </w:p>
    <w:p>
      <w:pPr>
        <w:pStyle w:val="Heading2"/>
        <w:spacing w:before="140"/>
      </w:pPr>
      <w:r>
        <w:t>Jak se mění argument podle segmentu</w:t>
      </w:r>
    </w:p>
    <w:p>
      <w:pPr>
        <w:pStyle w:val="StudyBullet"/>
        <w:numPr>
          <w:ilvl w:val="0"/>
          <w:numId w:val="10"/>
        </w:numPr>
      </w:pPr>
      <w:r>
        <w:t>Stavební firma: nabídky, zápisy a pracovní komunikace; nejprve zjistit, se kterými úkoly tým skutečně pracuje.</w:t>
      </w:r>
    </w:p>
    <w:p>
      <w:pPr>
        <w:pStyle w:val="StudyBullet"/>
        <w:numPr>
          <w:ilvl w:val="0"/>
          <w:numId w:val="10"/>
        </w:numPr>
      </w:pPr>
      <w:r>
        <w:t>Účetní či poradenská kancelář: obecné pracovní podklady a komunikace; před použitím klientských dat stanovit vlastní pravidla.</w:t>
      </w:r>
    </w:p>
    <w:p>
      <w:pPr>
        <w:pStyle w:val="StudyBullet"/>
        <w:numPr>
          <w:ilvl w:val="0"/>
          <w:numId w:val="10"/>
        </w:numPr>
      </w:pPr>
      <w:r>
        <w:t>Marketingová agentura: varianty obsahu a příprava kampaní; pro zkušený tým může být vhodný jiný obsah než základní kurz.</w:t>
      </w:r>
    </w:p>
    <w:p>
      <w:pPr>
        <w:pStyle w:val="NoteTitle"/>
        <w:shd w:fill="F5F5F3"/>
      </w:pPr>
      <w:r>
        <w:t>Rozsah řešení podle interního podkladu</w:t>
      </w:r>
    </w:p>
    <w:p>
      <w:pPr>
        <w:pStyle w:val="NoteBody"/>
        <w:shd w:fill="F5F5F3"/>
      </w:pPr>
      <w:r>
        <w:t>Příprava kampaně, návrhy, schvalování a PDF jsou popsané jako implementované s lokálními kontrolami. Celý zákaznický průchod v produkci zbývá doložit. Fyzické odesílání je vypnuté; jeho uvolnění a první skutečná zásilka vyžadují samostatné ověření. [P1]</w:t>
      </w:r>
    </w:p>
    <w:p>
      <w:pPr>
        <w:pStyle w:val="Source"/>
        <w:keepNext w:val="0"/>
        <w:spacing w:before="100"/>
      </w:pPr>
      <w:r>
        <w:t>Postup je návrhem pro tuto firmu; stav produktu vychází z interního přehledu [P1].</w:t>
      </w:r>
    </w:p>
    <w:p>
      <w:pPr>
        <w:pStyle w:val="Kicker"/>
        <w:pageBreakBefore/>
      </w:pPr>
      <w:r>
        <w:t>04 / PŘÍNOSY A OMEZENÍ</w:t>
      </w:r>
    </w:p>
    <w:p>
      <w:pPr>
        <w:pStyle w:val="Heading1"/>
      </w:pPr>
      <w:r>
        <w:t>Kde vzniká hodnota</w:t>
        <w:br/>
        <w:t>a co ji může snížit</w:t>
      </w:r>
    </w:p>
    <w:p>
      <w:pPr>
        <w:pStyle w:val="Lead"/>
        <w:spacing w:after="160"/>
      </w:pPr>
      <w:r>
        <w:t>Přínos musí zahrnout kvalitu výběru, práci schvalujícího člověka i návazný obchod.</w:t>
      </w:r>
    </w:p>
    <w:p>
      <w:pPr>
        <w:pStyle w:val="Heading2"/>
        <w:spacing w:before="140"/>
      </w:pPr>
      <w:r>
        <w:t>Očekávané přínosy pro firmu</w:t>
      </w:r>
    </w:p>
    <w:p>
      <w:pPr>
        <w:pStyle w:val="StudyBullet"/>
        <w:numPr>
          <w:ilvl w:val="0"/>
          <w:numId w:val="10"/>
        </w:numPr>
      </w:pPr>
      <w:r>
        <w:t>Nabídka se spojí s konkrétní prací osloveného týmu. Oborové příklady pomohou otevřít rozhovor místo obecného sdělení, že AI je důležitá.</w:t>
      </w:r>
    </w:p>
    <w:p>
      <w:pPr>
        <w:pStyle w:val="StudyBullet"/>
        <w:numPr>
          <w:ilvl w:val="0"/>
          <w:numId w:val="10"/>
        </w:numPr>
      </w:pPr>
      <w:r>
        <w:t>Schválenou osnovu lze představit v několika oborových variantách. Lektor si zachová kontrolu nad obsahem a nebude muset každou nabídku psát od začátku.</w:t>
      </w:r>
    </w:p>
    <w:p>
      <w:pPr>
        <w:pStyle w:val="StudyBullet"/>
        <w:numPr>
          <w:ilvl w:val="0"/>
          <w:numId w:val="10"/>
        </w:numPr>
      </w:pPr>
      <w:r>
        <w:t>Získané odpovědi mohou zpřesnit zadání workshopu. Rozlišování dovedností, úkolů a očekávání podporuje sestavení vhodného formátu školení.</w:t>
      </w:r>
    </w:p>
    <w:p>
      <w:pPr>
        <w:pStyle w:val="Heading2"/>
        <w:spacing w:before="140"/>
      </w:pPr>
      <w:r>
        <w:t>Rizika navrženého scénáře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2171"/>
        <w:gridCol w:w="3946"/>
        <w:gridCol w:w="3749"/>
      </w:tblGrid>
      <w:tr>
        <w:trPr>
          <w:cantSplit/>
          <w:tblHeader/>
        </w:trPr>
        <w:tc>
          <w:tcPr>
            <w:tcW w:type="dxa" w:w="2171"/>
            <w:shd w:fill="E6EFFF"/>
          </w:tcPr>
          <w:p>
            <w:pPr>
              <w:pStyle w:val="TableHeader"/>
            </w:pPr>
            <w:r>
              <w:t>Riziko</w:t>
            </w:r>
          </w:p>
        </w:tc>
        <w:tc>
          <w:tcPr>
            <w:tcW w:type="dxa" w:w="3946"/>
            <w:shd w:fill="E6EFFF"/>
          </w:tcPr>
          <w:p>
            <w:pPr>
              <w:pStyle w:val="TableHeader"/>
            </w:pPr>
            <w:r>
              <w:t>Možný dopad</w:t>
            </w:r>
          </w:p>
        </w:tc>
        <w:tc>
          <w:tcPr>
            <w:tcW w:type="dxa" w:w="3749"/>
            <w:shd w:fill="E6EFFF"/>
          </w:tcPr>
          <w:p>
            <w:pPr>
              <w:pStyle w:val="TableHeader"/>
            </w:pPr>
            <w:r>
              <w:t>Jak jej omezit</w:t>
            </w:r>
          </w:p>
        </w:tc>
      </w:tr>
      <w:tr>
        <w:trPr>
          <w:cantSplit/>
        </w:trPr>
        <w:tc>
          <w:tcPr>
            <w:tcW w:type="dxa" w:w="2171"/>
            <w:shd w:fill="FFFFFF"/>
          </w:tcPr>
          <w:p>
            <w:pPr>
              <w:pStyle w:val="TableBody"/>
            </w:pPr>
            <w:r>
              <w:t>Nesprávná úroveň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Obor nevypovídá o zkušenostech účastníků s AI.</w:t>
            </w:r>
          </w:p>
        </w:tc>
        <w:tc>
          <w:tcPr>
            <w:tcW w:type="dxa" w:w="3749"/>
            <w:shd w:fill="FFFFFF"/>
          </w:tcPr>
          <w:p>
            <w:pPr>
              <w:pStyle w:val="TableBody"/>
            </w:pPr>
            <w:r>
              <w:t>V prvním kroku nabídnout zjištění potřeb a úrovně.</w:t>
            </w:r>
          </w:p>
        </w:tc>
      </w:tr>
      <w:tr>
        <w:trPr>
          <w:cantSplit/>
        </w:trPr>
        <w:tc>
          <w:tcPr>
            <w:tcW w:type="dxa" w:w="2171"/>
            <w:shd w:fill="FAFAF9"/>
          </w:tcPr>
          <w:p>
            <w:pPr>
              <w:pStyle w:val="TableBody"/>
            </w:pPr>
            <w:r>
              <w:t>Nesoulad s osnovou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Příklady mohou slibovat obsah, který kurz nepokrývá.</w:t>
            </w:r>
          </w:p>
        </w:tc>
        <w:tc>
          <w:tcPr>
            <w:tcW w:type="dxa" w:w="3749"/>
            <w:shd w:fill="FAFAF9"/>
          </w:tcPr>
          <w:p>
            <w:pPr>
              <w:pStyle w:val="TableBody"/>
            </w:pPr>
            <w:r>
              <w:t>Lektor schválí každý oborový příklad a rozsah kurzu.</w:t>
            </w:r>
          </w:p>
        </w:tc>
      </w:tr>
      <w:tr>
        <w:trPr>
          <w:cantSplit/>
        </w:trPr>
        <w:tc>
          <w:tcPr>
            <w:tcW w:type="dxa" w:w="2171"/>
            <w:shd w:fill="FFFFFF"/>
          </w:tcPr>
          <w:p>
            <w:pPr>
              <w:pStyle w:val="TableBody"/>
            </w:pPr>
            <w:r>
              <w:t>Citlivá data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Praktické ukázky mohou otevřít práci s klientskými podklady.</w:t>
            </w:r>
          </w:p>
        </w:tc>
        <w:tc>
          <w:tcPr>
            <w:tcW w:type="dxa" w:w="3749"/>
            <w:shd w:fill="FFFFFF"/>
          </w:tcPr>
          <w:p>
            <w:pPr>
              <w:pStyle w:val="TableBody"/>
            </w:pPr>
            <w:r>
              <w:t>Předem domluvit vhodné materiály a pravidla použití.</w:t>
            </w:r>
          </w:p>
        </w:tc>
      </w:tr>
      <w:tr>
        <w:trPr>
          <w:cantSplit/>
        </w:trPr>
        <w:tc>
          <w:tcPr>
            <w:tcW w:type="dxa" w:w="2171"/>
            <w:shd w:fill="FAFAF9"/>
          </w:tcPr>
          <w:p>
            <w:pPr>
              <w:pStyle w:val="TableBody"/>
            </w:pPr>
            <w:r>
              <w:t>Záměna nabídky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Firemní školení a veřejný kurz mají jinou cílovou skupinu.</w:t>
            </w:r>
          </w:p>
        </w:tc>
        <w:tc>
          <w:tcPr>
            <w:tcW w:type="dxa" w:w="3749"/>
            <w:shd w:fill="FAFAF9"/>
          </w:tcPr>
          <w:p>
            <w:pPr>
              <w:pStyle w:val="TableBody"/>
            </w:pPr>
            <w:r>
              <w:t>Držet jednu B2B nabídku; nemíchat nábor jednotlivců.</w:t>
            </w:r>
          </w:p>
        </w:tc>
      </w:tr>
    </w:tbl>
    <w:p>
      <w:pPr>
        <w:pStyle w:val="TableGap"/>
      </w:pPr>
    </w:p>
    <w:p>
      <w:pPr>
        <w:pStyle w:val="Heading2"/>
        <w:spacing w:before="140"/>
      </w:pPr>
      <w:r>
        <w:t>Hranice vhodného použití</w:t>
      </w:r>
    </w:p>
    <w:p>
      <w:pPr>
        <w:spacing w:after="80" w:line="269" w:lineRule="auto"/>
      </w:pPr>
      <w:r>
        <w:t>Listovní oslovení není samo o sobě dokladem kvality školení ani zlepšení dovedností. Studie řeší přípravu firemního obchodního kontaktu. Pro hodnocení vzdělávání je potřeba vlastní postup před kurzem a po něm. Při nejasné osnově nebo nedostupném lektorovi nejprve doplnit nabídku, teprve potom zvětšovat kampaň.</w:t>
      </w:r>
    </w:p>
    <w:p>
      <w:pPr>
        <w:pStyle w:val="NoteTitle"/>
        <w:shd w:fill="F5F5F3"/>
      </w:pPr>
      <w:r>
        <w:t>Podmínka použití dat</w:t>
      </w:r>
    </w:p>
    <w:p>
      <w:pPr>
        <w:pStyle w:val="NoteBody"/>
        <w:shd w:fill="F5F5F3"/>
      </w:pPr>
      <w:r>
        <w:t>Veřejná dostupnost údajů sama nepotvrzuje oprávnění k použití. U osobních údajů je potřeba odpovídající právní základ, informační povinnosti a respektování námitek proti přímému marketingu. Komerční data lze používat jen podle skutečného přístupu a licenčních podmínek. [8]</w:t>
      </w:r>
    </w:p>
    <w:p>
      <w:pPr>
        <w:pStyle w:val="Source"/>
        <w:keepNext w:val="0"/>
        <w:spacing w:before="100"/>
      </w:pPr>
      <w:r>
        <w:t>Přínosy a rizika jsou analytické závěry. Právní rámec osobních údajů: GDPR, čl. 6, 14 a 21 [8].</w:t>
      </w:r>
    </w:p>
    <w:p>
      <w:pPr>
        <w:pStyle w:val="Kicker"/>
        <w:pageBreakBefore/>
      </w:pPr>
      <w:r>
        <w:t>05 / EKONOMICKÝ MODEL</w:t>
      </w:r>
    </w:p>
    <w:p>
      <w:pPr>
        <w:pStyle w:val="Heading1"/>
      </w:pPr>
      <w:r>
        <w:t>Co se musí</w:t>
        <w:br/>
        <w:t>vyplatit při přípravě</w:t>
      </w:r>
    </w:p>
    <w:p>
      <w:pPr>
        <w:pStyle w:val="Lead"/>
        <w:spacing w:after="160"/>
      </w:pPr>
      <w:r>
        <w:t>Čas, výdaj kampaně a obchodní výsledek se vyhodnocují odděleně.</w:t>
      </w:r>
    </w:p>
    <w:p>
      <w:pPr>
        <w:pStyle w:val="NoteTitle"/>
        <w:shd w:fill="F5F5F3"/>
      </w:pPr>
      <w:r>
        <w:t>Ilustrační předpoklady</w:t>
      </w:r>
    </w:p>
    <w:p>
      <w:pPr>
        <w:pStyle w:val="NoteBody"/>
        <w:shd w:fill="F5F5F3"/>
      </w:pPr>
      <w:r>
        <w:t>Všechny částky a časy na této straně jsou zvolené modelové vstupy. Nejde o naměřené výsledky, ceník Delegat.ing, nabídku poštovního poskytovatele ani potvrzené náklady firmy.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5920"/>
        <w:gridCol w:w="3946"/>
      </w:tblGrid>
      <w:tr>
        <w:trPr>
          <w:cantSplit/>
          <w:tblHeader/>
        </w:trPr>
        <w:tc>
          <w:tcPr>
            <w:tcW w:type="dxa" w:w="5920"/>
            <w:shd w:fill="E6EFFF"/>
          </w:tcPr>
          <w:p>
            <w:pPr>
              <w:pStyle w:val="TableHeader"/>
            </w:pPr>
            <w:r>
              <w:t>Předpoklad</w:t>
            </w:r>
          </w:p>
        </w:tc>
        <w:tc>
          <w:tcPr>
            <w:tcW w:type="dxa" w:w="3946"/>
            <w:shd w:fill="E6EFFF"/>
          </w:tcPr>
          <w:p>
            <w:pPr>
              <w:pStyle w:val="TableHeader"/>
            </w:pPr>
            <w:r>
              <w:t>Modelová hodnota</w:t>
            </w:r>
          </w:p>
        </w:tc>
      </w:tr>
      <w:tr>
        <w:trPr>
          <w:cantSplit/>
        </w:trPr>
        <w:tc>
          <w:tcPr>
            <w:tcW w:type="dxa" w:w="5920"/>
            <w:shd w:fill="FFFFFF"/>
          </w:tcPr>
          <w:p>
            <w:pPr>
              <w:pStyle w:val="TableBody"/>
            </w:pPr>
            <w:r>
              <w:t>Platforma / rozsah nové kampaně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2 500 Kč / 50 kontaktů</w:t>
            </w:r>
          </w:p>
        </w:tc>
      </w:tr>
      <w:tr>
        <w:trPr>
          <w:cantSplit/>
        </w:trPr>
        <w:tc>
          <w:tcPr>
            <w:tcW w:type="dxa" w:w="5920"/>
            <w:shd w:fill="FAFAF9"/>
          </w:tcPr>
          <w:p>
            <w:pPr>
              <w:pStyle w:val="TableBody"/>
            </w:pPr>
            <w:r>
              <w:t>Externí náklad na jedno oslovení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40 Kč</w:t>
            </w:r>
          </w:p>
        </w:tc>
      </w:tr>
      <w:tr>
        <w:trPr>
          <w:cantSplit/>
        </w:trPr>
        <w:tc>
          <w:tcPr>
            <w:tcW w:type="dxa" w:w="5920"/>
            <w:shd w:fill="FFFFFF"/>
          </w:tcPr>
          <w:p>
            <w:pPr>
              <w:pStyle w:val="TableBody"/>
            </w:pPr>
            <w:r>
              <w:t>Ruční příprava / příprava s AI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20 / 10 minut na kontakt</w:t>
            </w:r>
          </w:p>
        </w:tc>
      </w:tr>
      <w:tr>
        <w:trPr>
          <w:cantSplit/>
        </w:trPr>
        <w:tc>
          <w:tcPr>
            <w:tcW w:type="dxa" w:w="5920"/>
            <w:shd w:fill="FAFAF9"/>
          </w:tcPr>
          <w:p>
            <w:pPr>
              <w:pStyle w:val="TableBody"/>
            </w:pPr>
            <w:r>
              <w:t>Hodnota času pracovníka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500 Kč za hodinu</w:t>
            </w:r>
          </w:p>
        </w:tc>
      </w:tr>
    </w:tbl>
    <w:p>
      <w:pPr>
        <w:pStyle w:val="TableGap"/>
      </w:pPr>
    </w:p>
    <w:p>
      <w:pPr>
        <w:pStyle w:val="Heading2"/>
        <w:spacing w:before="140"/>
      </w:pPr>
      <w:r>
        <w:t>Co zahrnout do měření</w:t>
      </w:r>
    </w:p>
    <w:p>
      <w:pPr>
        <w:spacing w:after="80" w:line="269" w:lineRule="auto"/>
      </w:pPr>
      <w:r>
        <w:t>Model zahrnuje přípravu oborové varianty a kontrolu lektorem. Hlavní citlivostí je čas, který lektor věnuje opravám příkladů; přínos vzniká při opakovaném použití dobře zadané a schválené osnovy.</w:t>
      </w:r>
    </w:p>
    <w:p>
      <w:pPr>
        <w:spacing w:after="80" w:line="269" w:lineRule="auto"/>
      </w:pPr>
      <w:r>
        <w:t>Externí výdaj modelové nové kampaně je 4 500 Kč před interní prací. Při stejné ruční a AI listovní kampani se shodný náklad na oslovení vyruší. Model uvolní čas v rozsahu 8,33 h, tedy 4 167 Kč časové hodnoty; po odečtení platformy je rozdíl 1 667 Kč.</w:t>
      </w:r>
    </w:p>
    <w:p>
      <w:pPr>
        <w:pStyle w:val="Heading2"/>
        <w:spacing w:before="140"/>
      </w:pPr>
      <w:r>
        <w:t>Citlivost na čas s AI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3946"/>
        <w:gridCol w:w="5920"/>
      </w:tblGrid>
      <w:tr>
        <w:trPr>
          <w:cantSplit/>
          <w:tblHeader/>
        </w:trPr>
        <w:tc>
          <w:tcPr>
            <w:tcW w:type="dxa" w:w="3946"/>
            <w:shd w:fill="E6EFFF"/>
          </w:tcPr>
          <w:p>
            <w:pPr>
              <w:pStyle w:val="TableHeader"/>
            </w:pPr>
            <w:r>
              <w:t>Celkový čas s AI</w:t>
            </w:r>
          </w:p>
        </w:tc>
        <w:tc>
          <w:tcPr>
            <w:tcW w:type="dxa" w:w="5920"/>
            <w:shd w:fill="E6EFFF"/>
          </w:tcPr>
          <w:p>
            <w:pPr>
              <w:pStyle w:val="TableHeader"/>
            </w:pPr>
            <w:r>
              <w:t>Časová hodnota minus platforma</w:t>
            </w:r>
          </w:p>
        </w:tc>
      </w:tr>
      <w:tr>
        <w:trPr>
          <w:cantSplit/>
        </w:trPr>
        <w:tc>
          <w:tcPr>
            <w:tcW w:type="dxa" w:w="3946"/>
            <w:shd w:fill="FFFFFF"/>
          </w:tcPr>
          <w:p>
            <w:pPr>
              <w:pStyle w:val="TableBody"/>
            </w:pPr>
            <w:r>
              <w:t>10 min / kontakt</w:t>
            </w:r>
          </w:p>
        </w:tc>
        <w:tc>
          <w:tcPr>
            <w:tcW w:type="dxa" w:w="5920"/>
            <w:shd w:fill="FFFFFF"/>
          </w:tcPr>
          <w:p>
            <w:pPr>
              <w:pStyle w:val="TableBody"/>
            </w:pPr>
            <w:r>
              <w:t>1 667 Kč</w:t>
            </w:r>
          </w:p>
        </w:tc>
      </w:tr>
      <w:tr>
        <w:trPr>
          <w:cantSplit/>
        </w:trPr>
        <w:tc>
          <w:tcPr>
            <w:tcW w:type="dxa" w:w="3946"/>
            <w:shd w:fill="FAFAF9"/>
          </w:tcPr>
          <w:p>
            <w:pPr>
              <w:pStyle w:val="TableBody"/>
            </w:pPr>
            <w:r>
              <w:t>14 min / kontakt</w:t>
            </w:r>
          </w:p>
        </w:tc>
        <w:tc>
          <w:tcPr>
            <w:tcW w:type="dxa" w:w="5920"/>
            <w:shd w:fill="FAFAF9"/>
          </w:tcPr>
          <w:p>
            <w:pPr>
              <w:pStyle w:val="TableBody"/>
            </w:pPr>
            <w:r>
              <w:t>0 Kč</w:t>
            </w:r>
          </w:p>
        </w:tc>
      </w:tr>
      <w:tr>
        <w:trPr>
          <w:cantSplit/>
        </w:trPr>
        <w:tc>
          <w:tcPr>
            <w:tcW w:type="dxa" w:w="3946"/>
            <w:shd w:fill="FFFFFF"/>
          </w:tcPr>
          <w:p>
            <w:pPr>
              <w:pStyle w:val="TableBody"/>
            </w:pPr>
            <w:r>
              <w:t>18 min / kontakt</w:t>
            </w:r>
          </w:p>
        </w:tc>
        <w:tc>
          <w:tcPr>
            <w:tcW w:type="dxa" w:w="5920"/>
            <w:shd w:fill="FFFFFF"/>
          </w:tcPr>
          <w:p>
            <w:pPr>
              <w:pStyle w:val="TableBody"/>
            </w:pPr>
            <w:r>
              <w:t>-1 667 Kč</w:t>
            </w:r>
          </w:p>
        </w:tc>
      </w:tr>
    </w:tbl>
    <w:p>
      <w:pPr>
        <w:pStyle w:val="TableGap"/>
      </w:pPr>
    </w:p>
    <w:p>
      <w:pPr>
        <w:spacing w:after="80" w:line="269" w:lineRule="auto"/>
      </w:pPr>
      <w:r>
        <w:t>Při uvedených předpokladech je hranice vyrovnání přibližně 14,0 minuty na kontakt. Výpočet musí zahrnout kontrolu i opravy; počáteční nastavení se sleduje zvlášť.</w:t>
      </w:r>
    </w:p>
    <w:p>
      <w:pPr>
        <w:pStyle w:val="Heading2"/>
        <w:spacing w:before="140"/>
      </w:pPr>
      <w:r>
        <w:t>Jak posoudit obchodní přínos</w:t>
      </w:r>
    </w:p>
    <w:p>
      <w:pPr>
        <w:spacing w:after="80" w:line="269" w:lineRule="auto"/>
      </w:pPr>
      <w:r>
        <w:t>Uvolněný čas představuje kapacitu, nikoli automaticky hotovostní příjem. Návratnost nové akviziční kampaně se posuzuje proti příspěvku skutečně získané zakázky po variabilních nákladech. Úplný náklad zahrne platformu, oslovení, interní přípravu i navazující obchodní práci.</w:t>
      </w:r>
    </w:p>
    <w:p>
      <w:pPr>
        <w:pStyle w:val="Source"/>
        <w:keepNext w:val="0"/>
        <w:spacing w:before="100"/>
      </w:pPr>
      <w:r>
        <w:t>Autorský model pro tuto případovou studii. Skutečné vstupy a výsledky se doplní při ověření.</w:t>
      </w:r>
    </w:p>
    <w:p>
      <w:pPr>
        <w:pStyle w:val="Kicker"/>
        <w:pageBreakBefore/>
      </w:pPr>
      <w:r>
        <w:t>06 / OVĚŘENÍ A ZÁVĚR</w:t>
      </w:r>
    </w:p>
    <w:p>
      <w:pPr>
        <w:pStyle w:val="Heading1"/>
      </w:pPr>
      <w:r>
        <w:t>Jak ověřit</w:t>
        <w:br/>
        <w:t>navržené využití</w:t>
      </w:r>
    </w:p>
    <w:p>
      <w:pPr>
        <w:pStyle w:val="Lead"/>
        <w:spacing w:after="160"/>
      </w:pPr>
      <w:r>
        <w:t>Malý budoucí pilot má potvrdit kvalitu a náročnost postupu; nejde o záznam proběhlého testování.</w:t>
      </w:r>
    </w:p>
    <w:p>
      <w:pPr>
        <w:spacing w:after="80" w:line="269" w:lineRule="auto"/>
      </w:pPr>
      <w:r>
        <w:t>Začít deseti kontakty v simulaci. Po schválení nabídky, podkladů a obsahu lze samostatně uvolnit například pět skutečných dopisů. První reakce posoudit po 30 dnech, pozdější výsledky evidovat dál. Simulace se do skutečného oslovení nezapočítává.</w:t>
      </w:r>
    </w:p>
    <w:p>
      <w:pPr>
        <w:spacing w:after="80" w:line="269" w:lineRule="auto"/>
      </w:pPr>
      <w:r>
        <w:t>Vybrat jeden stavební segment a schválenou osnovu. Lektor u deseti návrhů hodnotí věcnou správnost příkladů a shodu s nabídkou. U skutečných reakcí zaznamenat úroveň týmu, konkrétní úkoly a případný nesoulad očekávání; podle něj upravit formulaci nabídky.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2664"/>
        <w:gridCol w:w="7202"/>
      </w:tblGrid>
      <w:tr>
        <w:trPr>
          <w:cantSplit/>
          <w:tblHeader/>
        </w:trPr>
        <w:tc>
          <w:tcPr>
            <w:tcW w:type="dxa" w:w="2664"/>
            <w:shd w:fill="E6EFFF"/>
          </w:tcPr>
          <w:p>
            <w:pPr>
              <w:pStyle w:val="TableHeader"/>
            </w:pPr>
            <w:r>
              <w:t>Ukazatel</w:t>
            </w:r>
          </w:p>
        </w:tc>
        <w:tc>
          <w:tcPr>
            <w:tcW w:type="dxa" w:w="7202"/>
            <w:shd w:fill="E6EFFF"/>
          </w:tcPr>
          <w:p>
            <w:pPr>
              <w:pStyle w:val="TableHeader"/>
            </w:pPr>
            <w:r>
              <w:t>Co zaznamenat</w:t>
            </w:r>
          </w:p>
        </w:tc>
      </w:tr>
      <w:tr>
        <w:trPr>
          <w:cantSplit/>
        </w:trPr>
        <w:tc>
          <w:tcPr>
            <w:tcW w:type="dxa" w:w="2664"/>
            <w:shd w:fill="FFFFFF"/>
          </w:tcPr>
          <w:p>
            <w:pPr>
              <w:pStyle w:val="TableBody"/>
            </w:pPr>
            <w:r>
              <w:t>Relevance a správnost</w:t>
            </w:r>
          </w:p>
        </w:tc>
        <w:tc>
          <w:tcPr>
            <w:tcW w:type="dxa" w:w="7202"/>
            <w:shd w:fill="FFFFFF"/>
          </w:tcPr>
          <w:p>
            <w:pPr>
              <w:pStyle w:val="TableBody"/>
            </w:pPr>
            <w:r>
              <w:t>Vhodné profily / všechny posouzené profily; zvlášť počet a závažnost faktických chyb.</w:t>
            </w:r>
          </w:p>
        </w:tc>
      </w:tr>
      <w:tr>
        <w:trPr>
          <w:cantSplit/>
        </w:trPr>
        <w:tc>
          <w:tcPr>
            <w:tcW w:type="dxa" w:w="2664"/>
            <w:shd w:fill="FAFAF9"/>
          </w:tcPr>
          <w:p>
            <w:pPr>
              <w:pStyle w:val="TableBody"/>
            </w:pPr>
            <w:r>
              <w:t>Text a čas přípravy</w:t>
            </w:r>
          </w:p>
        </w:tc>
        <w:tc>
          <w:tcPr>
            <w:tcW w:type="dxa" w:w="7202"/>
            <w:shd w:fill="FAFAF9"/>
          </w:tcPr>
          <w:p>
            <w:pPr>
              <w:pStyle w:val="TableBody"/>
            </w:pPr>
            <w:r>
              <w:t>Návrhy bez obsahové úpravy / posouzené návrhy; celkový čas rešerše, návrhu, kontroly a oprav.</w:t>
            </w:r>
          </w:p>
        </w:tc>
      </w:tr>
      <w:tr>
        <w:trPr>
          <w:cantSplit/>
        </w:trPr>
        <w:tc>
          <w:tcPr>
            <w:tcW w:type="dxa" w:w="2664"/>
            <w:shd w:fill="FFFFFF"/>
          </w:tcPr>
          <w:p>
            <w:pPr>
              <w:pStyle w:val="TableBody"/>
            </w:pPr>
            <w:r>
              <w:t>Kvalifikovaná reakce</w:t>
            </w:r>
          </w:p>
        </w:tc>
        <w:tc>
          <w:tcPr>
            <w:tcW w:type="dxa" w:w="7202"/>
            <w:shd w:fill="FFFFFF"/>
          </w:tcPr>
          <w:p>
            <w:pPr>
              <w:pStyle w:val="TableBody"/>
            </w:pPr>
            <w:r>
              <w:t>Rozhovor, ve kterém firma popíše úkoly týmu, výchozí zkušenosti a očekávaný formát vzdělávání. Pouhá žádost o obecný ceník ještě nedokládá vhodné zadání firemního workshopu.</w:t>
            </w:r>
          </w:p>
        </w:tc>
      </w:tr>
    </w:tbl>
    <w:p>
      <w:pPr>
        <w:pStyle w:val="TableGap"/>
      </w:pPr>
    </w:p>
    <w:p>
      <w:pPr>
        <w:spacing w:after="80" w:line="269" w:lineRule="auto"/>
      </w:pPr>
      <w:r>
        <w:t>Pracovní podmínka pokračování: alespoň osm z deseti profilů zákazník označí za vhodné, žádný finální text nemá kritickou věcnou chybu a celkový čas je přijatelný proti ručnímu postupu. Prahy jsou návrhem k potvrzení firmou. Malý vzorek neumožňuje spolehlivý odhad konverzí trhu.</w:t>
      </w:r>
    </w:p>
    <w:p>
      <w:pPr>
        <w:pStyle w:val="NoteTitle"/>
        <w:shd w:fill="F5F5F3"/>
      </w:pPr>
      <w:r>
        <w:t>Celkové analytické doporučení</w:t>
      </w:r>
    </w:p>
    <w:p>
      <w:pPr>
        <w:pStyle w:val="NoteBody"/>
        <w:shd w:fill="F5F5F3"/>
      </w:pPr>
      <w:r>
        <w:t>Delegat.ing je pro Naučíme AI vhodný k přípravě oborových variant firemního oslovení. Doporučujeme první kampaň pro jeden typ týmu a jasně vymezený workshop. Očekávaný přínos stojí na relevanci příkladů a úspoře přípravy; zájem o kurz i vzdělávací výsledky vyžadují další ověření.</w:t>
      </w:r>
    </w:p>
    <w:p>
      <w:pPr>
        <w:pStyle w:val="Heading2"/>
        <w:spacing w:before="140"/>
      </w:pPr>
      <w:r>
        <w:t>Podklady samostatné studie</w:t>
      </w:r>
    </w:p>
    <w:p>
      <w:pPr>
        <w:pStyle w:val="Source"/>
        <w:keepNext/>
        <w:spacing w:before="100"/>
      </w:pPr>
      <w:r>
        <w:t>[5] Naučíme AI - kurzy, workshopy a konzultace</w:t>
      </w:r>
    </w:p>
    <w:p>
      <w:pPr>
        <w:pStyle w:val="Source"/>
        <w:spacing w:before="100"/>
      </w:pPr>
      <w:hyperlink r:id="rId14">
        <w:r>
          <w:rPr>
            <w:color w:val="0066FF"/>
            <w:rFonts w:ascii="Geist" w:hAnsi="Geist"/>
          </w:rPr>
          <w:t>https://naucime.ai/</w:t>
        </w:r>
      </w:hyperlink>
    </w:p>
    <w:p>
      <w:pPr>
        <w:pStyle w:val="Source"/>
        <w:keepNext/>
        <w:spacing w:before="100"/>
      </w:pPr>
      <w:r>
        <w:t>[8] GDPR - nařízení (EU) 2016/679, čl. 6, 14 a 21</w:t>
      </w:r>
    </w:p>
    <w:p>
      <w:pPr>
        <w:pStyle w:val="Source"/>
        <w:spacing w:before="100"/>
      </w:pPr>
      <w:hyperlink r:id="rId15">
        <w:r>
          <w:rPr>
            <w:color w:val="0066FF"/>
            <w:rFonts w:ascii="Geist" w:hAnsi="Geist"/>
          </w:rPr>
          <w:t>https://eur-lex.europa.eu/legal-content/CS/TXT/?uri=CELEX:32016R0679</w:t>
        </w:r>
      </w:hyperlink>
    </w:p>
    <w:p>
      <w:pPr>
        <w:spacing w:after="80" w:line="269" w:lineRule="auto"/>
      </w:pPr>
      <w:r>
        <w:t>[P1] Interní přehled STAV-FUNKCI-2026-10-05.html. Zadání a výběr firmy dodal projektový tým. Scénáře a dopis jsou autorské návrhy s podporou AI, nikoli schválené stanovisko firmy.</w:t>
      </w:r>
    </w:p>
    <w:p>
      <w:pPr>
        <w:pStyle w:val="Source"/>
        <w:keepNext w:val="0"/>
        <w:spacing w:before="100"/>
      </w:pPr>
      <w:r>
        <w:t>Studie využitelnosti / Delegating Systems s.r.o. / Delegat.ing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headerReference w:type="first" r:id="rId16"/>
      <w:pgSz w:w="11906" w:h="16838"/>
      <w:pgMar w:top="1361" w:right="1020" w:bottom="1020" w:left="102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6" w:val="right"/>
      </w:tabs>
    </w:pPr>
    <w:r>
      <w:t>DELEGAT.ING / v1.0</w:t>
      <w:tab/>
    </w:r>
    <w:fldSimple w:instr="PAGE">
      <w:r>
        <w:t>1</w:t>
      </w:r>
    </w:fldSimple>
    <w:r>
      <w:t xml:space="preserve"> / </w:t>
    </w:r>
    <w:fldSimple w:instr="NUMPAGES">
      <w: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6" w:val="right"/>
      </w:tabs>
    </w:pPr>
    <w:r>
      <w:t>DELEGAT.ING / v1.0</w:t>
      <w:tab/>
    </w:r>
    <w:fldSimple w:instr="PAGE">
      <w:r>
        <w:t>1</w:t>
      </w:r>
    </w:fldSimple>
    <w:r>
      <w:t xml:space="preserve"> /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6" w:val="right"/>
      </w:tabs>
    </w:pPr>
    <w:r>
      <w:drawing>
        <wp:inline xmlns:a="http://schemas.openxmlformats.org/drawingml/2006/main" xmlns:pic="http://schemas.openxmlformats.org/drawingml/2006/picture">
          <wp:extent cx="1296000" cy="138672"/>
          <wp:docPr id="1" name="Picture 1" descr="Ilustrace vizuálního stylu Delegat.i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6000" cy="138672"/>
                  </a:xfrm>
                  <a:prstGeom prst="rect"/>
                </pic:spPr>
              </pic:pic>
            </a:graphicData>
          </a:graphic>
        </wp:inline>
      </w:drawing>
    </w:r>
    <w:r>
      <w:tab/>
      <w:t>NAUČÍME AI / JVTP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240" w:hanging="200"/>
      </w:pPr>
      <w:rPr>
        <w:rFonts w:ascii="Geist" w:hAnsi="Geist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78" w:lineRule="auto"/>
    </w:pPr>
    <w:rPr>
      <w:rFonts w:ascii="Geist" w:hAnsi="Geist" w:eastAsia="Geist" w:cs="Geist"/>
      <w:b w:val="0"/>
      <w:i w:val="0"/>
      <w:color w:val="0A0A0A"/>
      <w:sz w:val="21"/>
      <w:lang w:val="cs-C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Geist" w:hAnsi="Geist" w:eastAsia="Geist" w:cs="Geist"/>
      <w:b w:val="0"/>
      <w:i w:val="0"/>
      <w:color w:val="525252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Geist" w:hAnsi="Geist" w:eastAsia="Geist" w:cs="Geist"/>
      <w:b w:val="0"/>
      <w:i w:val="0"/>
      <w:color w:val="525252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180" w:line="259" w:lineRule="auto"/>
      <w:outlineLvl w:val="0"/>
    </w:pPr>
    <w:rPr>
      <w:rFonts w:ascii="Geist" w:hAnsi="Geist" w:eastAsia="Geist" w:cs="Geist"/>
      <w:b/>
      <w:bCs/>
      <w:i w:val="0"/>
      <w:color w:val="0A0A0A"/>
      <w:sz w:val="5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80" w:line="259" w:lineRule="auto"/>
      <w:outlineLvl w:val="1"/>
    </w:pPr>
    <w:rPr>
      <w:rFonts w:ascii="Geist" w:hAnsi="Geist" w:eastAsia="Geist" w:cs="Geist"/>
      <w:b/>
      <w:bCs/>
      <w:i w:val="0"/>
      <w:color w:val="0A0A0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60" w:after="80" w:line="259" w:lineRule="auto"/>
      <w:outlineLvl w:val="2"/>
    </w:pPr>
    <w:rPr>
      <w:rFonts w:ascii="Geist" w:hAnsi="Geist" w:eastAsia="Geist" w:cs="Geist"/>
      <w:b/>
      <w:bCs/>
      <w:i w:val="0"/>
      <w:color w:val="0A0A0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300" w:line="252" w:lineRule="auto" w:before="0"/>
      <w:contextualSpacing/>
    </w:pPr>
    <w:rPr>
      <w:rFonts w:ascii="Geist" w:hAnsi="Geist" w:eastAsia="Geist" w:cs="Geist"/>
      <w:b w:val="0"/>
      <w:i w:val="0"/>
      <w:color w:val="0A0A0A"/>
      <w:spacing w:val="5"/>
      <w:kern w:val="28"/>
      <w:sz w:val="8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before="0" w:after="280" w:line="288" w:lineRule="auto"/>
    </w:pPr>
    <w:rPr>
      <w:rFonts w:ascii="Geist" w:hAnsi="Geist" w:eastAsia="Geist" w:cs="Geist"/>
      <w:b w:val="0"/>
      <w:i w:val="0"/>
      <w:iCs/>
      <w:color w:val="525252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basedOn w:val="Normal"/>
    <w:pPr>
      <w:keepNext/>
      <w:widowControl/>
      <w:spacing w:before="0" w:after="140" w:line="240" w:lineRule="auto"/>
    </w:pPr>
    <w:rPr>
      <w:rFonts w:ascii="Geist" w:hAnsi="Geist" w:eastAsia="Geist" w:cs="Geist"/>
      <w:b/>
      <w:i w:val="0"/>
      <w:color w:val="0066FF"/>
      <w:sz w:val="16"/>
    </w:rPr>
  </w:style>
  <w:style w:type="paragraph" w:customStyle="1" w:styleId="Lead">
    <w:name w:val="Lead"/>
    <w:basedOn w:val="Normal"/>
    <w:pPr>
      <w:widowControl/>
      <w:spacing w:before="0" w:after="240" w:line="288" w:lineRule="auto"/>
    </w:pPr>
    <w:rPr>
      <w:rFonts w:ascii="Geist" w:hAnsi="Geist" w:eastAsia="Geist" w:cs="Geist"/>
      <w:b w:val="0"/>
      <w:i w:val="0"/>
      <w:color w:val="525252"/>
      <w:sz w:val="23"/>
    </w:rPr>
  </w:style>
  <w:style w:type="paragraph" w:customStyle="1" w:styleId="StudyBullet">
    <w:name w:val="Study Bullet"/>
    <w:basedOn w:val="Normal"/>
    <w:pPr>
      <w:widowControl/>
      <w:spacing w:before="0" w:after="80" w:line="278" w:lineRule="auto"/>
      <w:ind w:left="240" w:hanging="200"/>
    </w:pPr>
    <w:rPr>
      <w:rFonts w:ascii="Geist" w:hAnsi="Geist" w:eastAsia="Geist" w:cs="Geist"/>
      <w:b w:val="0"/>
      <w:i w:val="0"/>
      <w:color w:val="0A0A0A"/>
      <w:sz w:val="21"/>
    </w:rPr>
  </w:style>
  <w:style w:type="paragraph" w:customStyle="1" w:styleId="Source">
    <w:name w:val="Source"/>
    <w:basedOn w:val="Normal"/>
    <w:pPr>
      <w:widowControl/>
      <w:spacing w:before="180" w:after="0" w:line="269" w:lineRule="auto"/>
    </w:pPr>
    <w:rPr>
      <w:rFonts w:ascii="Geist" w:hAnsi="Geist" w:eastAsia="Geist" w:cs="Geist"/>
      <w:b w:val="0"/>
      <w:i w:val="0"/>
      <w:color w:val="525252"/>
      <w:sz w:val="15"/>
    </w:rPr>
  </w:style>
  <w:style w:type="paragraph" w:customStyle="1" w:styleId="TableBody">
    <w:name w:val="Table Body"/>
    <w:basedOn w:val="Normal"/>
    <w:pPr>
      <w:widowControl/>
      <w:spacing w:before="0" w:after="0" w:line="276" w:lineRule="auto"/>
    </w:pPr>
    <w:rPr>
      <w:rFonts w:ascii="Geist" w:hAnsi="Geist" w:eastAsia="Geist" w:cs="Geist"/>
      <w:b w:val="0"/>
      <w:i w:val="0"/>
      <w:color w:val="0A0A0A"/>
      <w:sz w:val="18"/>
    </w:rPr>
  </w:style>
  <w:style w:type="paragraph" w:customStyle="1" w:styleId="TableHeader">
    <w:name w:val="Table Header"/>
    <w:basedOn w:val="Normal"/>
    <w:pPr>
      <w:widowControl/>
      <w:spacing w:before="0" w:after="0" w:line="276" w:lineRule="auto"/>
    </w:pPr>
    <w:rPr>
      <w:rFonts w:ascii="Geist" w:hAnsi="Geist" w:eastAsia="Geist" w:cs="Geist"/>
      <w:b/>
      <w:i w:val="0"/>
      <w:color w:val="0066FF"/>
      <w:sz w:val="17"/>
    </w:rPr>
  </w:style>
  <w:style w:type="paragraph" w:customStyle="1" w:styleId="TableGap">
    <w:name w:val="Table Gap"/>
    <w:basedOn w:val="Normal"/>
    <w:pPr>
      <w:widowControl/>
      <w:spacing w:before="0" w:after="80" w:line="240" w:lineRule="auto"/>
    </w:pPr>
    <w:rPr>
      <w:rFonts w:ascii="Geist" w:hAnsi="Geist" w:eastAsia="Geist" w:cs="Geist"/>
      <w:b w:val="0"/>
      <w:i w:val="0"/>
      <w:color w:val="525252"/>
      <w:sz w:val="4"/>
    </w:rPr>
  </w:style>
  <w:style w:type="paragraph" w:customStyle="1" w:styleId="NoteTitle">
    <w:name w:val="Note Title"/>
    <w:basedOn w:val="Normal"/>
    <w:pPr>
      <w:keepNext/>
      <w:widowControl/>
      <w:spacing w:before="100" w:after="60" w:line="276" w:lineRule="auto"/>
      <w:ind w:left="180" w:right="180"/>
    </w:pPr>
    <w:rPr>
      <w:rFonts w:ascii="Geist" w:hAnsi="Geist" w:eastAsia="Geist" w:cs="Geist"/>
      <w:b/>
      <w:i w:val="0"/>
      <w:color w:val="0A0A0A"/>
      <w:sz w:val="21"/>
    </w:rPr>
  </w:style>
  <w:style w:type="paragraph" w:customStyle="1" w:styleId="NoteBody">
    <w:name w:val="Note Body"/>
    <w:basedOn w:val="Normal"/>
    <w:pPr>
      <w:widowControl/>
      <w:spacing w:before="0" w:after="140" w:line="288" w:lineRule="auto"/>
      <w:ind w:left="180" w:right="180"/>
    </w:pPr>
    <w:rPr>
      <w:rFonts w:ascii="Geist" w:hAnsi="Geist" w:eastAsia="Geist" w:cs="Geist"/>
      <w:b w:val="0"/>
      <w:i w:val="0"/>
      <w:color w:val="0A0A0A"/>
      <w:sz w:val="19"/>
    </w:rPr>
  </w:style>
  <w:style w:type="paragraph" w:customStyle="1" w:styleId="LetterTitle">
    <w:name w:val="Letter Title"/>
    <w:basedOn w:val="Normal"/>
    <w:pPr>
      <w:keepNext/>
      <w:widowControl/>
      <w:spacing w:before="0" w:after="120" w:line="276" w:lineRule="auto"/>
      <w:ind w:left="180" w:right="180"/>
    </w:pPr>
    <w:rPr>
      <w:rFonts w:ascii="Geist" w:hAnsi="Geist" w:eastAsia="Geist" w:cs="Geist"/>
      <w:b/>
      <w:i w:val="0"/>
      <w:color w:val="0A0A0A"/>
      <w:sz w:val="21"/>
    </w:rPr>
  </w:style>
  <w:style w:type="paragraph" w:customStyle="1" w:styleId="LetterBody">
    <w:name w:val="Letter Body"/>
    <w:basedOn w:val="Normal"/>
    <w:pPr>
      <w:widowControl/>
      <w:spacing w:before="0" w:after="100" w:line="276" w:lineRule="auto"/>
      <w:ind w:left="180" w:right="180"/>
    </w:pPr>
    <w:rPr>
      <w:rFonts w:ascii="Geist" w:hAnsi="Geist" w:eastAsia="Geist" w:cs="Geist"/>
      <w:b w:val="0"/>
      <w:i w:val="0"/>
      <w:color w:val="0A0A0A"/>
      <w:sz w:val="19"/>
    </w:rPr>
  </w:style>
  <w:style w:type="paragraph" w:customStyle="1" w:styleId="LetterKicker">
    <w:name w:val="Letter Kicker"/>
    <w:basedOn w:val="Normal"/>
    <w:pPr>
      <w:keepNext/>
      <w:widowControl/>
      <w:spacing w:before="140" w:after="80" w:line="240" w:lineRule="auto"/>
      <w:ind w:left="180" w:right="180"/>
    </w:pPr>
    <w:rPr>
      <w:rFonts w:ascii="Geist" w:hAnsi="Geist" w:eastAsia="Geist" w:cs="Geist"/>
      <w:b/>
      <w:i w:val="0"/>
      <w:color w:val="0066FF"/>
      <w:sz w:val="15"/>
    </w:rPr>
  </w:style>
  <w:style w:type="paragraph" w:customStyle="1" w:styleId="CoverMeta">
    <w:name w:val="Cover Meta"/>
    <w:basedOn w:val="Normal"/>
    <w:pPr>
      <w:widowControl/>
      <w:spacing w:before="0" w:after="120" w:line="288" w:lineRule="auto"/>
    </w:pPr>
    <w:rPr>
      <w:rFonts w:ascii="Geist" w:hAnsi="Geist" w:eastAsia="Geist" w:cs="Geist"/>
      <w:b w:val="0"/>
      <w:i w:val="0"/>
      <w:color w:val="525252"/>
      <w:sz w:val="20"/>
    </w:rPr>
  </w:style>
  <w:style w:type="paragraph" w:customStyle="1" w:styleId="CoverStats">
    <w:name w:val="Cover Stats"/>
    <w:basedOn w:val="Normal"/>
    <w:pPr>
      <w:widowControl/>
      <w:spacing w:before="0" w:after="240" w:line="288" w:lineRule="auto"/>
    </w:pPr>
    <w:rPr>
      <w:rFonts w:ascii="Geist" w:hAnsi="Geist" w:eastAsia="Geist" w:cs="Geist"/>
      <w:b/>
      <w:i w:val="0"/>
      <w:color w:val="0066FF"/>
      <w:sz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hyperlink" Target="https://naucime.ai/" TargetMode="External"/><Relationship Id="rId15" Type="http://schemas.openxmlformats.org/officeDocument/2006/relationships/hyperlink" Target="https://eur-lex.europa.eu/legal-content/CS/TXT/?uri=CELEX:32016R0679" TargetMode="External"/><Relationship Id="rId16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Naučíme AI / Studie využitelnosti Delegat.ing</dc:title>
  <dc:subject>Samostatná případová studie / Naučíme AI / JVTP / verze 1.0</dc:subject>
  <dc:creator>Delegating Systems s.r.o.</dc:creator>
  <cp:keywords/>
  <dc:description>generated by python-docx</dc:description>
  <cp:lastModifiedBy/>
  <cp:revision>1</cp:revision>
  <cp:category/>
  <dc:language>cs-CZ</dc:language>
</cp:coreProperties>
</file>