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60"/>
      </w:pPr>
      <w:r>
        <w:drawing>
          <wp:inline xmlns:a="http://schemas.openxmlformats.org/drawingml/2006/main" xmlns:pic="http://schemas.openxmlformats.org/drawingml/2006/picture">
            <wp:extent cx="2988000" cy="319716"/>
            <wp:docPr id="1" name="Picture 1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319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>JVTP / SAMOSTATNÁ PŘÍPADOVÁ STUDIE / 04</w:t>
      </w:r>
    </w:p>
    <w:p>
      <w:pPr>
        <w:pStyle w:val="Title"/>
      </w:pPr>
      <w:r>
        <w:t>Wexia Digital</w:t>
        <w:br/>
        <w:t>Případová</w:t>
        <w:br/>
        <w:t>studie</w:t>
      </w:r>
    </w:p>
    <w:p>
      <w:pPr>
        <w:pStyle w:val="Subtitle"/>
      </w:pPr>
      <w:r>
        <w:t>Digitalizace a automatizace pracovních procesů</w:t>
      </w:r>
    </w:p>
    <w:p>
      <w:pPr>
        <w:pStyle w:val="CoverMeta"/>
      </w:pPr>
      <w:r>
        <w:t>Od veřejně doloženého typu prodeje</w:t>
        <w:br/>
        <w:t>k rozhovoru o zpracování poptávky.</w:t>
      </w:r>
    </w:p>
    <w:p>
      <w:pPr>
        <w:pStyle w:val="CoverMeta"/>
        <w:spacing w:after="400"/>
      </w:pPr>
      <w:r>
        <w:t>Studie využitelnosti Delegat.ing</w:t>
        <w:br/>
        <w:t>pro personalizovanou B2B akvizici.</w:t>
      </w:r>
    </w:p>
    <w:p>
      <w:pPr>
        <w:spacing w:after="200"/>
      </w:pPr>
      <w:r>
        <w:drawing>
          <wp:inline xmlns:a="http://schemas.openxmlformats.org/drawingml/2006/main" xmlns:pic="http://schemas.openxmlformats.org/drawingml/2006/picture">
            <wp:extent cx="900000" cy="1619388"/>
            <wp:docPr id="2" name="Picture 2" descr="Ilustrace vizuálního stylu Delegat.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me-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1619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overStats"/>
      </w:pPr>
      <w:r>
        <w:t>3 profily  /  1 kampaň  /  1 modelový dopis</w:t>
      </w:r>
    </w:p>
    <w:p>
      <w:pPr>
        <w:pStyle w:val="CoverMeta"/>
      </w:pPr>
      <w:r>
        <w:t>Zpracovatel: Delegating Systems s.r.o.</w:t>
        <w:br/>
        <w:t>Verze 1.0 / samostatný dokument</w:t>
        <w:br/>
        <w:t>Podklad pro představení projektu JVTP</w:t>
      </w:r>
    </w:p>
    <w:p>
      <w:pPr>
        <w:pStyle w:val="Kicker"/>
        <w:pageBreakBefore/>
      </w:pPr>
      <w:r>
        <w:t>01 / FIRMA A ZÁKAZNÍCI</w:t>
      </w:r>
    </w:p>
    <w:p>
      <w:pPr>
        <w:pStyle w:val="Heading1"/>
      </w:pPr>
      <w:r>
        <w:t>Wexia Digital / příležitost</w:t>
      </w:r>
    </w:p>
    <w:p>
      <w:pPr>
        <w:pStyle w:val="Lead"/>
        <w:spacing w:after="160"/>
      </w:pPr>
      <w:r>
        <w:t>Jak ze širokého portfolia vybrat jednu relevantní službu a připravit kvalifikovanou první schůzku.</w:t>
      </w:r>
    </w:p>
    <w:p>
      <w:pPr>
        <w:pStyle w:val="Heading2"/>
        <w:spacing w:before="140"/>
      </w:pPr>
      <w:r>
        <w:t>Rozsah posouzení</w:t>
      </w:r>
    </w:p>
    <w:p>
      <w:pPr>
        <w:spacing w:after="80" w:line="269" w:lineRule="auto"/>
      </w:pPr>
      <w:r>
        <w:t>Analýza vychází z veřejně prezentované nabídky firmy a popsaného modulu Outreach v Delegat.ing. Cílové profily, kampaň a přínosy jsou návrhy zpracovatele. Studie neobsahuje zákaznické rozhovory ani výsledky proběhlého pilotu; jejich ověření je navrženo v závěru.</w:t>
      </w:r>
    </w:p>
    <w:p>
      <w:pPr>
        <w:pStyle w:val="Heading2"/>
        <w:spacing w:before="140"/>
      </w:pPr>
      <w:r>
        <w:t>Doložená nabídka a navržený cíl</w:t>
      </w:r>
    </w:p>
    <w:p>
      <w:pPr>
        <w:spacing w:after="80" w:line="269" w:lineRule="auto"/>
      </w:pPr>
      <w:r>
        <w:t>Wexia Digital veřejně nabízí weby a aplikace, digitalizaci a automatizaci, AI služby, školení a konzultace. [6] Pro tuto studii navrhujeme úzký vstup: rozhovor o jednom konkrétním pracovním procesu, který si potenciální zákazník vybere sám.</w:t>
      </w:r>
    </w:p>
    <w:p>
      <w:pPr>
        <w:pStyle w:val="Heading2"/>
        <w:spacing w:before="140"/>
      </w:pPr>
      <w:r>
        <w:t>Tři modelové zákaznické profily</w:t>
      </w:r>
    </w:p>
    <w:p>
      <w:pPr>
        <w:pStyle w:val="StudyBullet"/>
        <w:numPr>
          <w:ilvl w:val="0"/>
          <w:numId w:val="10"/>
        </w:numPr>
      </w:pPr>
      <w:r>
        <w:t>Firma s poptávkovým prodejem. Veřejná prezentace potvrzuje příjem zakázkových poptávek. Nabídka otevře cestu od dotazu k obchodnímu zpracování. Způsob evidence, počet dotazů a případné potíže se neodvozují z existence formuláře.</w:t>
      </w:r>
    </w:p>
    <w:p>
      <w:pPr>
        <w:pStyle w:val="StudyBullet"/>
        <w:numPr>
          <w:ilvl w:val="0"/>
          <w:numId w:val="10"/>
        </w:numPr>
      </w:pPr>
      <w:r>
        <w:t>Vzdělávací organizace. Doložené kurzy či akce poskytují kontext pro proces přihlášek a komunikace. Oslovení nabídne zmapování jednoho postupu. Neznámé zůstávají používané systémy, objem administrativy a odpovědnosti.</w:t>
      </w:r>
    </w:p>
    <w:p>
      <w:pPr>
        <w:pStyle w:val="StudyBullet"/>
        <w:numPr>
          <w:ilvl w:val="0"/>
          <w:numId w:val="10"/>
        </w:numPr>
      </w:pPr>
      <w:r>
        <w:t>Menší společnost s více provozovnami. Veřejně doložené lokality mohou odůvodnit rozhovor o sdílení podkladů a koordinaci. Vnitřní organizace a stav digitálních nástrojů musí vyplynout z rozhovoru, nikoli z úsudku nad webem.</w:t>
      </w:r>
    </w:p>
    <w:p>
      <w:pPr>
        <w:pStyle w:val="Heading2"/>
        <w:spacing w:before="140"/>
      </w:pPr>
      <w:r>
        <w:t>Navržená kampaň v Delegat.ing</w:t>
      </w:r>
    </w:p>
    <w:p>
      <w:pPr>
        <w:spacing w:after="80" w:line="269" w:lineRule="auto"/>
      </w:pPr>
      <w:r>
        <w:t>Zvolit firmy s veřejně doloženým poptávkovým prodejem a nabídnout zmapování jednoho procesu. Do znalostní báze vložit schválené služby, použitelné reference a hranice úvodní konzultace. Návrh dopisu má obsahovat otázku a možnost dalšího kroku, které odpovídají konkrétnímu typu firmy.</w:t>
      </w:r>
    </w:p>
    <w:p>
      <w:pPr>
        <w:pStyle w:val="Heading2"/>
        <w:spacing w:before="140"/>
      </w:pPr>
      <w:r>
        <w:t>Očekávané přínosy</w:t>
      </w:r>
    </w:p>
    <w:p>
      <w:pPr>
        <w:pStyle w:val="StudyBullet"/>
        <w:numPr>
          <w:ilvl w:val="0"/>
          <w:numId w:val="10"/>
        </w:numPr>
      </w:pPr>
      <w:r>
        <w:t>Kratší příprava rešerše a konzistentní zachycení důvodu oslovení.</w:t>
      </w:r>
    </w:p>
    <w:p>
      <w:pPr>
        <w:pStyle w:val="StudyBullet"/>
        <w:numPr>
          <w:ilvl w:val="0"/>
          <w:numId w:val="10"/>
        </w:numPr>
      </w:pPr>
      <w:r>
        <w:t>Výběr jedné relevantní služby ze širokého portfolia.</w:t>
      </w:r>
    </w:p>
    <w:p>
      <w:pPr>
        <w:pStyle w:val="StudyBullet"/>
        <w:numPr>
          <w:ilvl w:val="0"/>
          <w:numId w:val="10"/>
        </w:numPr>
      </w:pPr>
      <w:r>
        <w:t>Srozumitelný podklad pro první schůzku a následnou evidenci zjištěných potřeb.</w:t>
      </w:r>
    </w:p>
    <w:p>
      <w:pPr>
        <w:pStyle w:val="NoteTitle"/>
        <w:shd w:fill="F5F5F3"/>
      </w:pPr>
      <w:r>
        <w:t>Analytické posouzení</w:t>
      </w:r>
    </w:p>
    <w:p>
      <w:pPr>
        <w:pStyle w:val="NoteBody"/>
        <w:shd w:fill="F5F5F3"/>
      </w:pPr>
      <w:r>
        <w:t>Vhodné pro pilot zaměřený na čas přípravy a kvalitu obchodního vstupu. Přínos musí zahrnout i práci na opravách a schvalování, nejen samotné generování textu.</w:t>
      </w:r>
    </w:p>
    <w:p>
      <w:pPr>
        <w:pStyle w:val="Source"/>
        <w:keepNext w:val="0"/>
        <w:spacing w:before="100"/>
      </w:pPr>
      <w:r>
        <w:t>Veřejný profil nabídky: Wexia Digital [6]. Popsané potřeby segmentů jsou pracovní hypotézy.</w:t>
      </w:r>
    </w:p>
    <w:p>
      <w:pPr>
        <w:pStyle w:val="Kicker"/>
        <w:pageBreakBefore/>
      </w:pPr>
      <w:r>
        <w:t>02 / KONKRÉTNÍ KAMPAŇ</w:t>
      </w:r>
    </w:p>
    <w:p>
      <w:pPr>
        <w:pStyle w:val="Heading1"/>
      </w:pPr>
      <w:r>
        <w:t>Wexia Digital / kampaň</w:t>
      </w:r>
    </w:p>
    <w:p>
      <w:pPr>
        <w:pStyle w:val="Lead"/>
      </w:pPr>
      <w:r>
        <w:t>Otevřít otázku procesu, který je pro firmu důležitý, bez předstírání interního auditu.</w:t>
      </w:r>
    </w:p>
    <w:p>
      <w:pPr>
        <w:pStyle w:val="LetterKicker"/>
        <w:shd w:fill="F0F5FF"/>
      </w:pPr>
      <w:r>
        <w:t>MODELOVÁ UKÁZKA / HYPOTETICKÝ ADRESÁT</w:t>
      </w:r>
    </w:p>
    <w:p>
      <w:pPr>
        <w:pStyle w:val="LetterTitle"/>
        <w:shd w:fill="F0F5FF"/>
      </w:pPr>
      <w:r>
        <w:t>Od poptávky k dalšímu obchodnímu kroku</w:t>
      </w:r>
    </w:p>
    <w:p>
      <w:pPr>
        <w:pStyle w:val="LetterBody"/>
        <w:shd w:fill="F0F5FF"/>
      </w:pPr>
      <w:r>
        <w:t>Vážené vedení společnosti,</w:t>
      </w:r>
    </w:p>
    <w:p>
      <w:pPr>
        <w:pStyle w:val="LetterBody"/>
        <w:shd w:fill="F0F5FF"/>
      </w:pPr>
      <w:r>
        <w:t>obracíme se na vás s nabídkou úvodního rozhovoru o zpracování obchodních poptávek. Ve Wexia Digital pomáháme firmám s digitalizací a automatizací pracovních procesů.</w:t>
      </w:r>
    </w:p>
    <w:p>
      <w:pPr>
        <w:pStyle w:val="LetterBody"/>
        <w:shd w:fill="F0F5FF"/>
      </w:pPr>
      <w:r>
        <w:t>U zakázkového prodeje může být užitečné zmapovat cestu od prvního dotazu přes přiřazení odpovědnosti až po další komunikaci. Z veřejné prezentace ale nelze zjistit, jak tento postup funguje právě u vás.</w:t>
      </w:r>
    </w:p>
    <w:p>
      <w:pPr>
        <w:pStyle w:val="LetterBody"/>
        <w:shd w:fill="F0F5FF"/>
      </w:pPr>
      <w:r>
        <w:t>Navrhujeme proto společně projít jeden proces, který si zvolíte. Teprve podle vašich podkladů bychom mohli posoudit, zda má smysl nějaká změna nebo propojení nástrojů.</w:t>
      </w:r>
    </w:p>
    <w:p>
      <w:pPr>
        <w:pStyle w:val="LetterBody"/>
        <w:shd w:fill="F0F5FF"/>
      </w:pPr>
      <w:r>
        <w:t>Pokud je toto téma aktuální, kontaktujte nás prostřednictvím www.wexia.digital.</w:t>
      </w:r>
    </w:p>
    <w:p>
      <w:pPr>
        <w:pStyle w:val="LetterBody"/>
        <w:shd w:fill="F0F5FF"/>
      </w:pPr>
      <w:r>
        <w:t>Tým Wexia Digital</w:t>
      </w:r>
    </w:p>
    <w:p>
      <w:pPr>
        <w:pStyle w:val="Heading2"/>
      </w:pPr>
      <w:r>
        <w:t>Proč je oslovení personalizované</w:t>
      </w:r>
    </w:p>
    <w:p>
      <w:r>
        <w:t>Text odpovídá firmě s modelovým poptávkovým prodejem. Nesděluje, že má zákazník nefunkční web, ruční přepisování nebo ztracené zakázky. Volbu konkrétní potřeby ponechává na něm.</w:t>
      </w:r>
    </w:p>
    <w:p>
      <w:pPr>
        <w:pStyle w:val="Heading2"/>
      </w:pPr>
      <w:r>
        <w:t>Omezení a nevhodné použití</w:t>
      </w:r>
    </w:p>
    <w:p>
      <w:pPr>
        <w:pStyle w:val="StudyBullet"/>
        <w:numPr>
          <w:ilvl w:val="0"/>
          <w:numId w:val="10"/>
        </w:numPr>
      </w:pPr>
      <w:r>
        <w:t>Široká nabídka může vést k neurčitému dopisu. Každá kampaň potřebuje jednu službu a jasný další krok.</w:t>
      </w:r>
    </w:p>
    <w:p>
      <w:pPr>
        <w:pStyle w:val="StudyBullet"/>
        <w:numPr>
          <w:ilvl w:val="0"/>
          <w:numId w:val="10"/>
        </w:numPr>
      </w:pPr>
      <w:r>
        <w:t>Bez interních údajů nelze vyčíslit přínos digitalizace. Rešerše připravuje otázky, nikoli hotový audit.</w:t>
      </w:r>
    </w:p>
    <w:p>
      <w:pPr>
        <w:pStyle w:val="StudyBullet"/>
        <w:numPr>
          <w:ilvl w:val="0"/>
          <w:numId w:val="10"/>
        </w:numPr>
      </w:pPr>
      <w:r>
        <w:t>Úspora práce vznikne jen tehdy, pokud kontrola a opravy nepřeváží zrychlení prvního návrhu.</w:t>
      </w:r>
    </w:p>
    <w:p>
      <w:pPr>
        <w:pStyle w:val="Heading2"/>
      </w:pPr>
      <w:r>
        <w:t>Co dodat a co ověřit v pilotu</w:t>
      </w:r>
    </w:p>
    <w:p>
      <w:r>
        <w:t>Wexia dodá rozsah úvodní konzultace, schválené reference a pravidla výběru. U stejného zadání změří ruční postup a postup s Delegat.ing: rešerši, návrh, kontrolu a opravy. Zvlášť vyhodnotí kvalitu a relevanci výsledku.</w:t>
      </w:r>
    </w:p>
    <w:p>
      <w:pPr>
        <w:pStyle w:val="NoteTitle"/>
        <w:shd w:fill="F5F5F3"/>
      </w:pPr>
      <w:r>
        <w:t>Rozhodnutí po první dávce</w:t>
      </w:r>
    </w:p>
    <w:p>
      <w:pPr>
        <w:pStyle w:val="NoteBody"/>
        <w:shd w:fill="F5F5F3"/>
      </w:pPr>
      <w:r>
        <w:t>Pokračovat, pokud je celkový čas kratší při srovnatelné kvalitě a firma dokáže navázat na připravené podklady. Při drahých opravách upravit vstupy nebo scénář.</w:t>
      </w:r>
    </w:p>
    <w:p>
      <w:pPr>
        <w:pStyle w:val="Source"/>
        <w:keepNext w:val="0"/>
      </w:pPr>
      <w:r>
        <w:t>Autorská modelová ukázka; adresát je hypotetický. Text neobsahuje skutečně provedený audit firmy.</w:t>
      </w:r>
    </w:p>
    <w:p>
      <w:pPr>
        <w:pStyle w:val="Kicker"/>
        <w:pageBreakBefore/>
      </w:pPr>
      <w:r>
        <w:t>03 / PRAKTICKÝ POSTUP</w:t>
      </w:r>
    </w:p>
    <w:p>
      <w:pPr>
        <w:pStyle w:val="Heading1"/>
      </w:pPr>
      <w:r>
        <w:t>Od zadání</w:t>
        <w:br/>
        <w:t>ke schválenému výstupu</w:t>
      </w:r>
    </w:p>
    <w:p>
      <w:pPr>
        <w:pStyle w:val="Lead"/>
        <w:spacing w:after="160"/>
      </w:pPr>
      <w:r>
        <w:t>Jeden scénář, dohledatelné podklady a konkrétní lidská rozhodnutí.</w:t>
      </w:r>
    </w:p>
    <w:p>
      <w:pPr>
        <w:pStyle w:val="Heading2"/>
        <w:spacing w:before="140"/>
      </w:pPr>
      <w:r>
        <w:t>Co připravit předem</w:t>
      </w:r>
    </w:p>
    <w:p>
      <w:pPr>
        <w:spacing w:after="80" w:line="269" w:lineRule="auto"/>
      </w:pPr>
      <w:r>
        <w:t>Wexia vybere jeden úvodní konzultační scénář a popíše jeho hranice. Do podkladů patří skutečně nabízené služby, použitelné reference a otázky pro první schůzku. Nabídka má říkat, co klient získá při prvním kontaktu; nesmí předstírat provedený audit, znalost interních procesů ani konkrétní finanční dopad změny.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466"/>
        <w:gridCol w:w="7400"/>
      </w:tblGrid>
      <w:tr>
        <w:trPr>
          <w:cantSplit/>
          <w:tblHeader/>
        </w:trPr>
        <w:tc>
          <w:tcPr>
            <w:tcW w:type="dxa" w:w="2466"/>
            <w:shd w:fill="E6EFFF"/>
          </w:tcPr>
          <w:p>
            <w:pPr>
              <w:pStyle w:val="TableHeader"/>
            </w:pPr>
            <w:r>
              <w:t>Krok</w:t>
            </w:r>
          </w:p>
        </w:tc>
        <w:tc>
          <w:tcPr>
            <w:tcW w:type="dxa" w:w="7400"/>
            <w:shd w:fill="E6EFFF"/>
          </w:tcPr>
          <w:p>
            <w:pPr>
              <w:pStyle w:val="TableHeader"/>
            </w:pPr>
            <w:r>
              <w:t>Výstup a rozhodnutí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1 / Zadání nabídky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Zúžit portfolio na rozhovor o jednom pracovním procesu. Vymezit obsah úvodní konzultace a roli konzultanta, který naváže na odpověď.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2 / Výběr kontaktů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Ověřit veřejně doložený poptávkový prodej. Existence formuláře je kontext oslovení, nikoli důkaz nefunkčního zpracování dotazů.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3 / Rešerše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Zapsat nabídku firmy a způsob, jakým přijímá zákaznické dotazy. Ponechat neznámé její CRM, objem poptávek, rychlost reakce a interní předávání.</w:t>
            </w:r>
          </w:p>
        </w:tc>
      </w:tr>
      <w:tr>
        <w:trPr>
          <w:cantSplit/>
        </w:trPr>
        <w:tc>
          <w:tcPr>
            <w:tcW w:type="dxa" w:w="2466"/>
            <w:shd w:fill="FAFAF9"/>
          </w:tcPr>
          <w:p>
            <w:pPr>
              <w:pStyle w:val="TableBody"/>
            </w:pPr>
            <w:r>
              <w:t>4 / Text a kontrola</w:t>
            </w:r>
          </w:p>
        </w:tc>
        <w:tc>
          <w:tcPr>
            <w:tcW w:type="dxa" w:w="7400"/>
            <w:shd w:fill="FAFAF9"/>
          </w:tcPr>
          <w:p>
            <w:pPr>
              <w:pStyle w:val="TableBody"/>
            </w:pPr>
            <w:r>
              <w:t>Nabídnout společné zmapování jednoho postupu podle podkladů zákazníka. Konzultant kontroluje konkrétnost otázky a nepodložené diagnózy.</w:t>
            </w:r>
          </w:p>
        </w:tc>
      </w:tr>
      <w:tr>
        <w:trPr>
          <w:cantSplit/>
        </w:trPr>
        <w:tc>
          <w:tcPr>
            <w:tcW w:type="dxa" w:w="2466"/>
            <w:shd w:fill="FFFFFF"/>
          </w:tcPr>
          <w:p>
            <w:pPr>
              <w:pStyle w:val="TableBody"/>
            </w:pPr>
            <w:r>
              <w:t>5 / Výstup a reakce</w:t>
            </w:r>
          </w:p>
        </w:tc>
        <w:tc>
          <w:tcPr>
            <w:tcW w:type="dxa" w:w="7400"/>
            <w:shd w:fill="FFFFFF"/>
          </w:tcPr>
          <w:p>
            <w:pPr>
              <w:pStyle w:val="TableBody"/>
            </w:pPr>
            <w:r>
              <w:t>Připravit schválené PDF. Při reakci zjistit vlastníka procesu, používané nástroje a prioritu; teprve poté formulovat další zakázku.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Jak se mění argument podle segmentu</w:t>
      </w:r>
    </w:p>
    <w:p>
      <w:pPr>
        <w:pStyle w:val="StudyBullet"/>
        <w:numPr>
          <w:ilvl w:val="0"/>
          <w:numId w:val="10"/>
        </w:numPr>
      </w:pPr>
      <w:r>
        <w:t>Poptávkový prodej: cesta od zákaznického dotazu k dalšímu obchodnímu kroku; nabídnout otázku, nikoli tvrzení o ztracených zakázkách.</w:t>
      </w:r>
    </w:p>
    <w:p>
      <w:pPr>
        <w:pStyle w:val="StudyBullet"/>
        <w:numPr>
          <w:ilvl w:val="0"/>
          <w:numId w:val="10"/>
        </w:numPr>
      </w:pPr>
      <w:r>
        <w:t>Vzdělávací organizace: přihlášky a navazující komunikace; používané nástroje a objem administrativy zjistit rozhovorem.</w:t>
      </w:r>
    </w:p>
    <w:p>
      <w:pPr>
        <w:pStyle w:val="StudyBullet"/>
        <w:numPr>
          <w:ilvl w:val="0"/>
          <w:numId w:val="10"/>
        </w:numPr>
      </w:pPr>
      <w:r>
        <w:t>Více provozoven: sdílení podkladů a koordinace; veřejně doložené lokality neprokazují problém s interní organizací.</w:t>
      </w:r>
    </w:p>
    <w:p>
      <w:pPr>
        <w:pStyle w:val="NoteTitle"/>
        <w:shd w:fill="F5F5F3"/>
      </w:pPr>
      <w:r>
        <w:t>Rozsah řešení podle interního podkladu</w:t>
      </w:r>
    </w:p>
    <w:p>
      <w:pPr>
        <w:pStyle w:val="NoteBody"/>
        <w:shd w:fill="F5F5F3"/>
      </w:pPr>
      <w:r>
        <w:t>Příprava kampaně, návrhy, schvalování a PDF jsou popsané jako implementované s lokálními kontrolami. Celý zákaznický průchod v produkci zbývá doložit. Fyzické odesílání je vypnuté; jeho uvolnění a první skutečná zásilka vyžadují samostatné ověření. [P1]</w:t>
      </w:r>
    </w:p>
    <w:p>
      <w:pPr>
        <w:pStyle w:val="Source"/>
        <w:keepNext w:val="0"/>
        <w:spacing w:before="100"/>
      </w:pPr>
      <w:r>
        <w:t>Postup je návrhem pro tuto firmu; stav produktu vychází z interního přehledu [P1].</w:t>
      </w:r>
    </w:p>
    <w:p>
      <w:pPr>
        <w:pStyle w:val="Kicker"/>
        <w:pageBreakBefore/>
      </w:pPr>
      <w:r>
        <w:t>04 / PŘÍNOSY A OMEZENÍ</w:t>
      </w:r>
    </w:p>
    <w:p>
      <w:pPr>
        <w:pStyle w:val="Heading1"/>
      </w:pPr>
      <w:r>
        <w:t>Kde vzniká hodnota</w:t>
        <w:br/>
        <w:t>a co ji může snížit</w:t>
      </w:r>
    </w:p>
    <w:p>
      <w:pPr>
        <w:pStyle w:val="Lead"/>
        <w:spacing w:after="160"/>
      </w:pPr>
      <w:r>
        <w:t>Přínos musí zahrnout kvalitu výběru, práci schvalujícího člověka i návazný obchod.</w:t>
      </w:r>
    </w:p>
    <w:p>
      <w:pPr>
        <w:pStyle w:val="Heading2"/>
        <w:spacing w:before="140"/>
      </w:pPr>
      <w:r>
        <w:t>Očekávané přínosy pro firmu</w:t>
      </w:r>
    </w:p>
    <w:p>
      <w:pPr>
        <w:pStyle w:val="StudyBullet"/>
        <w:numPr>
          <w:ilvl w:val="0"/>
          <w:numId w:val="10"/>
        </w:numPr>
      </w:pPr>
      <w:r>
        <w:t>Rešerše a text se zaměří na jeden důvod oslovení. Široké portfolio se zúží na téma, na které může zákazník konkrétně reagovat.</w:t>
      </w:r>
    </w:p>
    <w:p>
      <w:pPr>
        <w:pStyle w:val="StudyBullet"/>
        <w:numPr>
          <w:ilvl w:val="0"/>
          <w:numId w:val="10"/>
        </w:numPr>
      </w:pPr>
      <w:r>
        <w:t>Konzultant dostane podklady i seznam neznámých informací. První schůzka může začít ověřováním potřeb místo opakované základní přípravy.</w:t>
      </w:r>
    </w:p>
    <w:p>
      <w:pPr>
        <w:pStyle w:val="StudyBullet"/>
        <w:numPr>
          <w:ilvl w:val="0"/>
          <w:numId w:val="10"/>
        </w:numPr>
      </w:pPr>
      <w:r>
        <w:t>Stejný postup lze porovnat s ruční přípravou. Wexia může měřit celý čas od výběru adresáta po schválení, včetně všech oprav a předání konzultantovi.</w:t>
      </w:r>
    </w:p>
    <w:p>
      <w:pPr>
        <w:pStyle w:val="Heading2"/>
        <w:spacing w:before="140"/>
      </w:pPr>
      <w:r>
        <w:t>Rizika navrženého scénáře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171"/>
        <w:gridCol w:w="3946"/>
        <w:gridCol w:w="3749"/>
      </w:tblGrid>
      <w:tr>
        <w:trPr>
          <w:cantSplit/>
          <w:tblHeader/>
        </w:trPr>
        <w:tc>
          <w:tcPr>
            <w:tcW w:type="dxa" w:w="2171"/>
            <w:shd w:fill="E6EFFF"/>
          </w:tcPr>
          <w:p>
            <w:pPr>
              <w:pStyle w:val="TableHeader"/>
            </w:pPr>
            <w:r>
              <w:t>Riziko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Možný dopad</w:t>
            </w:r>
          </w:p>
        </w:tc>
        <w:tc>
          <w:tcPr>
            <w:tcW w:type="dxa" w:w="3749"/>
            <w:shd w:fill="E6EFFF"/>
          </w:tcPr>
          <w:p>
            <w:pPr>
              <w:pStyle w:val="TableHeader"/>
            </w:pPr>
            <w:r>
              <w:t>Jak jej omezit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Předstíraný audit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Web neprokazuje podobu ani problémy interního procesu.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Text formuluje otázku; diagnóza až z podkladů klienta.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Neurčitá nabídka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Výčet všech služeb může zastřít smysl prvního kontaktu.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Jedna kampaň nabízí jeden konkrétní rozhovor.</w:t>
            </w:r>
          </w:p>
        </w:tc>
      </w:tr>
      <w:tr>
        <w:trPr>
          <w:cantSplit/>
        </w:trPr>
        <w:tc>
          <w:tcPr>
            <w:tcW w:type="dxa" w:w="2171"/>
            <w:shd w:fill="FFFFFF"/>
          </w:tcPr>
          <w:p>
            <w:pPr>
              <w:pStyle w:val="TableBody"/>
            </w:pPr>
            <w:r>
              <w:t>Drahé opravy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Rychlý návrh může vyžadovat rozsáhlé přepsání konzultantem.</w:t>
            </w:r>
          </w:p>
        </w:tc>
        <w:tc>
          <w:tcPr>
            <w:tcW w:type="dxa" w:w="3749"/>
            <w:shd w:fill="FFFFFF"/>
          </w:tcPr>
          <w:p>
            <w:pPr>
              <w:pStyle w:val="TableBody"/>
            </w:pPr>
            <w:r>
              <w:t>Měřit celkový čas a upravit zadání při opakované chybě.</w:t>
            </w:r>
          </w:p>
        </w:tc>
      </w:tr>
      <w:tr>
        <w:trPr>
          <w:cantSplit/>
        </w:trPr>
        <w:tc>
          <w:tcPr>
            <w:tcW w:type="dxa" w:w="2171"/>
            <w:shd w:fill="FAFAF9"/>
          </w:tcPr>
          <w:p>
            <w:pPr>
              <w:pStyle w:val="TableBody"/>
            </w:pPr>
            <w:r>
              <w:t>Chybějící vlastník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Kontaktní osoba nemusí rozhodovat o změně procesu.</w:t>
            </w:r>
          </w:p>
        </w:tc>
        <w:tc>
          <w:tcPr>
            <w:tcW w:type="dxa" w:w="3749"/>
            <w:shd w:fill="FAFAF9"/>
          </w:tcPr>
          <w:p>
            <w:pPr>
              <w:pStyle w:val="TableBody"/>
            </w:pPr>
            <w:r>
              <w:t>Při reakci určit odpovědnou roli a další krok.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Hranice vhodného použití</w:t>
      </w:r>
    </w:p>
    <w:p>
      <w:pPr>
        <w:spacing w:after="80" w:line="269" w:lineRule="auto"/>
      </w:pPr>
      <w:r>
        <w:t>Delegat.ing může urychlit přípravu kontaktu, ale nenahradí rozhovor o interních systémech, analýzu procesu ani návrh integrace. Pokud text obsahuje jen obecnou nabídku webu, AI a automatizace, hlavní problém spočívá v zadání. Nejprve je potřeba upřesnit službu a důvod oslovení.</w:t>
      </w:r>
    </w:p>
    <w:p>
      <w:pPr>
        <w:pStyle w:val="NoteTitle"/>
        <w:shd w:fill="F5F5F3"/>
      </w:pPr>
      <w:r>
        <w:t>Podmínka použití dat</w:t>
      </w:r>
    </w:p>
    <w:p>
      <w:pPr>
        <w:pStyle w:val="NoteBody"/>
        <w:shd w:fill="F5F5F3"/>
      </w:pPr>
      <w:r>
        <w:t>Veřejná dostupnost údajů sama nepotvrzuje oprávnění k použití. U osobních údajů je potřeba odpovídající právní základ, informační povinnosti a respektování námitek proti přímému marketingu. Komerční data lze používat jen podle skutečného přístupu a licenčních podmínek. [8]</w:t>
      </w:r>
    </w:p>
    <w:p>
      <w:pPr>
        <w:pStyle w:val="Source"/>
        <w:keepNext w:val="0"/>
        <w:spacing w:before="100"/>
      </w:pPr>
      <w:r>
        <w:t>Přínosy a rizika jsou analytické závěry. Právní rámec osobních údajů: GDPR, čl. 6, 14 a 21 [8].</w:t>
      </w:r>
    </w:p>
    <w:p>
      <w:pPr>
        <w:pStyle w:val="Kicker"/>
        <w:pageBreakBefore/>
      </w:pPr>
      <w:r>
        <w:t>05 / EKONOMICKÝ MODEL</w:t>
      </w:r>
    </w:p>
    <w:p>
      <w:pPr>
        <w:pStyle w:val="Heading1"/>
      </w:pPr>
      <w:r>
        <w:t>Co se musí</w:t>
        <w:br/>
        <w:t>vyplatit při přípravě</w:t>
      </w:r>
    </w:p>
    <w:p>
      <w:pPr>
        <w:pStyle w:val="Lead"/>
        <w:spacing w:after="160"/>
      </w:pPr>
      <w:r>
        <w:t>Čas, výdaj kampaně a obchodní výsledek se vyhodnocují odděleně.</w:t>
      </w:r>
    </w:p>
    <w:p>
      <w:pPr>
        <w:pStyle w:val="NoteTitle"/>
        <w:shd w:fill="F5F5F3"/>
      </w:pPr>
      <w:r>
        <w:t>Ilustrační předpoklady</w:t>
      </w:r>
    </w:p>
    <w:p>
      <w:pPr>
        <w:pStyle w:val="NoteBody"/>
        <w:shd w:fill="F5F5F3"/>
      </w:pPr>
      <w:r>
        <w:t>Všechny částky a časy na této straně jsou zvolené modelové vstupy. Nejde o naměřené výsledky, ceník Delegat.ing, nabídku poštovního poskytovatele ani potvrzené náklady firmy.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5920"/>
        <w:gridCol w:w="3946"/>
      </w:tblGrid>
      <w:tr>
        <w:trPr>
          <w:cantSplit/>
          <w:tblHeader/>
        </w:trPr>
        <w:tc>
          <w:tcPr>
            <w:tcW w:type="dxa" w:w="5920"/>
            <w:shd w:fill="E6EFFF"/>
          </w:tcPr>
          <w:p>
            <w:pPr>
              <w:pStyle w:val="TableHeader"/>
            </w:pPr>
            <w:r>
              <w:t>Předpoklad</w:t>
            </w:r>
          </w:p>
        </w:tc>
        <w:tc>
          <w:tcPr>
            <w:tcW w:type="dxa" w:w="3946"/>
            <w:shd w:fill="E6EFFF"/>
          </w:tcPr>
          <w:p>
            <w:pPr>
              <w:pStyle w:val="TableHeader"/>
            </w:pPr>
            <w:r>
              <w:t>Modelová hodnota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Platforma / rozsah nové kampaně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2 500 Kč / 50 kontaktů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Externí náklad na jedno oslovení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40 Kč</w:t>
            </w:r>
          </w:p>
        </w:tc>
      </w:tr>
      <w:tr>
        <w:trPr>
          <w:cantSplit/>
        </w:trPr>
        <w:tc>
          <w:tcPr>
            <w:tcW w:type="dxa" w:w="5920"/>
            <w:shd w:fill="FFFFFF"/>
          </w:tcPr>
          <w:p>
            <w:pPr>
              <w:pStyle w:val="TableBody"/>
            </w:pPr>
            <w:r>
              <w:t>Ruční příprava / příprava s AI</w:t>
            </w:r>
          </w:p>
        </w:tc>
        <w:tc>
          <w:tcPr>
            <w:tcW w:type="dxa" w:w="3946"/>
            <w:shd w:fill="FFFFFF"/>
          </w:tcPr>
          <w:p>
            <w:pPr>
              <w:pStyle w:val="TableBody"/>
            </w:pPr>
            <w:r>
              <w:t>25 / 12 minut na kontakt</w:t>
            </w:r>
          </w:p>
        </w:tc>
      </w:tr>
      <w:tr>
        <w:trPr>
          <w:cantSplit/>
        </w:trPr>
        <w:tc>
          <w:tcPr>
            <w:tcW w:type="dxa" w:w="5920"/>
            <w:shd w:fill="FAFAF9"/>
          </w:tcPr>
          <w:p>
            <w:pPr>
              <w:pStyle w:val="TableBody"/>
            </w:pPr>
            <w:r>
              <w:t>Hodnota času pracovníka</w:t>
            </w:r>
          </w:p>
        </w:tc>
        <w:tc>
          <w:tcPr>
            <w:tcW w:type="dxa" w:w="3946"/>
            <w:shd w:fill="FAFAF9"/>
          </w:tcPr>
          <w:p>
            <w:pPr>
              <w:pStyle w:val="TableBody"/>
            </w:pPr>
            <w:r>
              <w:t>650 Kč za hodinu</w:t>
            </w:r>
          </w:p>
        </w:tc>
      </w:tr>
    </w:tbl>
    <w:p>
      <w:pPr>
        <w:pStyle w:val="TableGap"/>
      </w:pPr>
    </w:p>
    <w:p>
      <w:pPr>
        <w:pStyle w:val="Heading2"/>
        <w:spacing w:before="140"/>
      </w:pPr>
      <w:r>
        <w:t>Co zahrnout do měření</w:t>
      </w:r>
    </w:p>
    <w:p>
      <w:pPr>
        <w:spacing w:after="80" w:line="269" w:lineRule="auto"/>
      </w:pPr>
      <w:r>
        <w:t>Model zahrnuje rešerši, návrh dopisu, kontrolu a případné přepsání konzultantem. Wexia má zvlášť sledovat čas předání podkladů do první schůzky; úspora přípravy nesmí být vykoupena dodatečnou prací v další části procesu.</w:t>
      </w:r>
    </w:p>
    <w:p>
      <w:pPr>
        <w:spacing w:after="80" w:line="269" w:lineRule="auto"/>
      </w:pPr>
      <w:r>
        <w:t>Externí výdaj modelové nové kampaně je 4 500 Kč před interní prací. Při stejné ruční a AI listovní kampani se shodný náklad na oslovení vyruší. Model uvolní čas v rozsahu 10,83 h, tedy 7 042 Kč časové hodnoty; po odečtení platformy je rozdíl 4 542 Kč.</w:t>
      </w:r>
    </w:p>
    <w:p>
      <w:pPr>
        <w:pStyle w:val="Heading2"/>
        <w:spacing w:before="140"/>
      </w:pPr>
      <w:r>
        <w:t>Citlivost na čas s AI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3946"/>
        <w:gridCol w:w="5920"/>
      </w:tblGrid>
      <w:tr>
        <w:trPr>
          <w:cantSplit/>
          <w:tblHeader/>
        </w:trPr>
        <w:tc>
          <w:tcPr>
            <w:tcW w:type="dxa" w:w="3946"/>
            <w:shd w:fill="E6EFFF"/>
          </w:tcPr>
          <w:p>
            <w:pPr>
              <w:pStyle w:val="TableHeader"/>
            </w:pPr>
            <w:r>
              <w:t>Celkový čas s AI</w:t>
            </w:r>
          </w:p>
        </w:tc>
        <w:tc>
          <w:tcPr>
            <w:tcW w:type="dxa" w:w="5920"/>
            <w:shd w:fill="E6EFFF"/>
          </w:tcPr>
          <w:p>
            <w:pPr>
              <w:pStyle w:val="TableHeader"/>
            </w:pPr>
            <w:r>
              <w:t>Časová hodnota minus platforma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12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4 542 Kč</w:t>
            </w:r>
          </w:p>
        </w:tc>
      </w:tr>
      <w:tr>
        <w:trPr>
          <w:cantSplit/>
        </w:trPr>
        <w:tc>
          <w:tcPr>
            <w:tcW w:type="dxa" w:w="3946"/>
            <w:shd w:fill="FAFAF9"/>
          </w:tcPr>
          <w:p>
            <w:pPr>
              <w:pStyle w:val="TableBody"/>
            </w:pPr>
            <w:r>
              <w:t>16 min / kontakt</w:t>
            </w:r>
          </w:p>
        </w:tc>
        <w:tc>
          <w:tcPr>
            <w:tcW w:type="dxa" w:w="5920"/>
            <w:shd w:fill="FAFAF9"/>
          </w:tcPr>
          <w:p>
            <w:pPr>
              <w:pStyle w:val="TableBody"/>
            </w:pPr>
            <w:r>
              <w:t>2 375 Kč</w:t>
            </w:r>
          </w:p>
        </w:tc>
      </w:tr>
      <w:tr>
        <w:trPr>
          <w:cantSplit/>
        </w:trPr>
        <w:tc>
          <w:tcPr>
            <w:tcW w:type="dxa" w:w="3946"/>
            <w:shd w:fill="FFFFFF"/>
          </w:tcPr>
          <w:p>
            <w:pPr>
              <w:pStyle w:val="TableBody"/>
            </w:pPr>
            <w:r>
              <w:t>20 min / kontakt</w:t>
            </w:r>
          </w:p>
        </w:tc>
        <w:tc>
          <w:tcPr>
            <w:tcW w:type="dxa" w:w="5920"/>
            <w:shd w:fill="FFFFFF"/>
          </w:tcPr>
          <w:p>
            <w:pPr>
              <w:pStyle w:val="TableBody"/>
            </w:pPr>
            <w:r>
              <w:t>208 Kč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Při uvedených předpokladech je hranice vyrovnání přibližně 20,4 minuty na kontakt. Výpočet musí zahrnout kontrolu i opravy; počáteční nastavení se sleduje zvlášť.</w:t>
      </w:r>
    </w:p>
    <w:p>
      <w:pPr>
        <w:pStyle w:val="Heading2"/>
        <w:spacing w:before="140"/>
      </w:pPr>
      <w:r>
        <w:t>Jak posoudit obchodní přínos</w:t>
      </w:r>
    </w:p>
    <w:p>
      <w:pPr>
        <w:spacing w:after="80" w:line="269" w:lineRule="auto"/>
      </w:pPr>
      <w:r>
        <w:t>Uvolněný čas představuje kapacitu, nikoli automaticky hotovostní příjem. Návratnost nové akviziční kampaně se posuzuje proti příspěvku skutečně získané zakázky po variabilních nákladech. Úplný náklad zahrne platformu, oslovení, interní přípravu i navazující obchodní práci.</w:t>
      </w:r>
    </w:p>
    <w:p>
      <w:pPr>
        <w:pStyle w:val="Source"/>
        <w:keepNext w:val="0"/>
        <w:spacing w:before="100"/>
      </w:pPr>
      <w:r>
        <w:t>Autorský model pro tuto případovou studii. Skutečné vstupy a výsledky se doplní při ověření.</w:t>
      </w:r>
    </w:p>
    <w:p>
      <w:pPr>
        <w:pStyle w:val="Kicker"/>
        <w:pageBreakBefore/>
      </w:pPr>
      <w:r>
        <w:t>06 / OVĚŘENÍ A ZÁVĚR</w:t>
      </w:r>
    </w:p>
    <w:p>
      <w:pPr>
        <w:pStyle w:val="Heading1"/>
      </w:pPr>
      <w:r>
        <w:t>Jak ověřit</w:t>
        <w:br/>
        <w:t>navržené využití</w:t>
      </w:r>
    </w:p>
    <w:p>
      <w:pPr>
        <w:pStyle w:val="Lead"/>
        <w:spacing w:after="160"/>
      </w:pPr>
      <w:r>
        <w:t>Malý budoucí pilot má potvrdit kvalitu a náročnost postupu; nejde o záznam proběhlého testování.</w:t>
      </w:r>
    </w:p>
    <w:p>
      <w:pPr>
        <w:spacing w:after="80" w:line="269" w:lineRule="auto"/>
      </w:pPr>
      <w:r>
        <w:t>Začít deseti kontakty v simulaci. Po schválení nabídky, podkladů a obsahu lze samostatně uvolnit například pět skutečných dopisů. První reakce posoudit po 30 dnech, pozdější výsledky evidovat dál. Simulace se do skutečného oslovení nezapočítává.</w:t>
      </w:r>
    </w:p>
    <w:p>
      <w:pPr>
        <w:spacing w:after="80" w:line="269" w:lineRule="auto"/>
      </w:pPr>
      <w:r>
        <w:t>U deseti firem se stejným typem poptávkového prodeje porovnat ruční a AI asistovanou přípravu na srovnatelném zadání. Pořadí postupů vyvážit, aby první rešerše nepomáhala pouze druhé metodě. Konzultant hodnotí relevanci otázky, kvalitu podkladů a potřebu další práce.</w:t>
      </w:r>
    </w:p>
    <w:tbl>
      <w:tblPr>
        <w:tblW w:type="dxa" w:w="9866"/>
        <w:tblLayout w:type="fixed"/>
        <w:tblLook w:firstColumn="1" w:firstRow="1" w:lastColumn="0" w:lastRow="0" w:noHBand="0" w:noVBand="1" w:val="04A0"/>
        <w:tblInd w:w="120" w:type="dxa"/>
        <w:tblCellMar>
          <w:top w:w="90" w:type="dxa"/>
          <w:bottom w:w="90" w:type="dxa"/>
          <w:start w:w="120" w:type="dxa"/>
          <w:end w:w="120" w:type="dxa"/>
        </w:tblCellMar>
        <w:tblBorders>
          <w:top w:val="nil" w:sz="4" w:color="E5E5E5"/>
          <w:left w:val="nil" w:sz="4" w:color="E5E5E5"/>
          <w:bottom w:val="single" w:sz="4" w:color="E5E5E5"/>
          <w:right w:val="nil" w:sz="4" w:color="E5E5E5"/>
          <w:insideH w:val="single" w:sz="4" w:color="E5E5E5"/>
          <w:insideV w:val="nil" w:sz="4" w:color="E5E5E5"/>
        </w:tblBorders>
      </w:tblPr>
      <w:tblGrid>
        <w:gridCol w:w="2664"/>
        <w:gridCol w:w="7202"/>
      </w:tblGrid>
      <w:tr>
        <w:trPr>
          <w:cantSplit/>
          <w:tblHeader/>
        </w:trPr>
        <w:tc>
          <w:tcPr>
            <w:tcW w:type="dxa" w:w="2664"/>
            <w:shd w:fill="E6EFFF"/>
          </w:tcPr>
          <w:p>
            <w:pPr>
              <w:pStyle w:val="TableHeader"/>
            </w:pPr>
            <w:r>
              <w:t>Ukazatel</w:t>
            </w:r>
          </w:p>
        </w:tc>
        <w:tc>
          <w:tcPr>
            <w:tcW w:type="dxa" w:w="7202"/>
            <w:shd w:fill="E6EFFF"/>
          </w:tcPr>
          <w:p>
            <w:pPr>
              <w:pStyle w:val="TableHeader"/>
            </w:pPr>
            <w:r>
              <w:t>Co zaznamenat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Relevance a správnost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Vhodné profily / všechny posouzené profily; zvlášť počet a závažnost faktických chyb.</w:t>
            </w:r>
          </w:p>
        </w:tc>
      </w:tr>
      <w:tr>
        <w:trPr>
          <w:cantSplit/>
        </w:trPr>
        <w:tc>
          <w:tcPr>
            <w:tcW w:type="dxa" w:w="2664"/>
            <w:shd w:fill="FAFAF9"/>
          </w:tcPr>
          <w:p>
            <w:pPr>
              <w:pStyle w:val="TableBody"/>
            </w:pPr>
            <w:r>
              <w:t>Text a čas přípravy</w:t>
            </w:r>
          </w:p>
        </w:tc>
        <w:tc>
          <w:tcPr>
            <w:tcW w:type="dxa" w:w="7202"/>
            <w:shd w:fill="FAFAF9"/>
          </w:tcPr>
          <w:p>
            <w:pPr>
              <w:pStyle w:val="TableBody"/>
            </w:pPr>
            <w:r>
              <w:t>Návrhy bez obsahové úpravy / posouzené návrhy; celkový čas rešerše, návrhu, kontroly a oprav.</w:t>
            </w:r>
          </w:p>
        </w:tc>
      </w:tr>
      <w:tr>
        <w:trPr>
          <w:cantSplit/>
        </w:trPr>
        <w:tc>
          <w:tcPr>
            <w:tcW w:type="dxa" w:w="2664"/>
            <w:shd w:fill="FFFFFF"/>
          </w:tcPr>
          <w:p>
            <w:pPr>
              <w:pStyle w:val="TableBody"/>
            </w:pPr>
            <w:r>
              <w:t>Kvalifikovaná reakce</w:t>
            </w:r>
          </w:p>
        </w:tc>
        <w:tc>
          <w:tcPr>
            <w:tcW w:type="dxa" w:w="7202"/>
            <w:shd w:fill="FFFFFF"/>
          </w:tcPr>
          <w:p>
            <w:pPr>
              <w:pStyle w:val="TableBody"/>
            </w:pPr>
            <w:r>
              <w:t>Rozhovor o jednom vybraném procesu s člověkem, který může popsat současný postup a zajistit další podklady. Obecný zájem o AI nebo web bez konkrétní potřeby se zaznamená zvlášť.</w:t>
            </w:r>
          </w:p>
        </w:tc>
      </w:tr>
    </w:tbl>
    <w:p>
      <w:pPr>
        <w:pStyle w:val="TableGap"/>
      </w:pPr>
    </w:p>
    <w:p>
      <w:pPr>
        <w:spacing w:after="80" w:line="269" w:lineRule="auto"/>
      </w:pPr>
      <w:r>
        <w:t>Pracovní podmínka pokračování: alespoň osm z deseti profilů zákazník označí za vhodné, žádný finální text nemá kritickou věcnou chybu a celkový čas je přijatelný proti ručnímu postupu. Prahy jsou návrhem k potvrzení firmou. Malý vzorek neumožňuje spolehlivý odhad konverzí trhu.</w:t>
      </w:r>
    </w:p>
    <w:p>
      <w:pPr>
        <w:pStyle w:val="NoteTitle"/>
        <w:shd w:fill="F5F5F3"/>
      </w:pPr>
      <w:r>
        <w:t>Celkové analytické doporučení</w:t>
      </w:r>
    </w:p>
    <w:p>
      <w:pPr>
        <w:pStyle w:val="NoteBody"/>
        <w:shd w:fill="F5F5F3"/>
      </w:pPr>
      <w:r>
        <w:t>Pro Wexia Digital doporučujeme použití jako přípravu konkrétního konzultačního vstupu. Klíčovou hypotézou je nižší celkový čas při srovnatelné kvalitě. Pokračovat tam, kde text respektuje neznámé údaje a připravené podklady skutečně pomáhají konzultantovi navázat na reakci.</w:t>
      </w:r>
    </w:p>
    <w:p>
      <w:pPr>
        <w:pStyle w:val="Heading2"/>
        <w:spacing w:before="140"/>
      </w:pPr>
      <w:r>
        <w:t>Podklady samostatné studie</w:t>
      </w:r>
    </w:p>
    <w:p>
      <w:pPr>
        <w:pStyle w:val="Source"/>
        <w:keepNext/>
        <w:spacing w:before="100"/>
      </w:pPr>
      <w:r>
        <w:t>[6] Wexia Digital - portfolio služeb</w:t>
      </w:r>
    </w:p>
    <w:p>
      <w:pPr>
        <w:pStyle w:val="Source"/>
        <w:spacing w:before="100"/>
      </w:pPr>
      <w:hyperlink r:id="rId14">
        <w:r>
          <w:rPr>
            <w:color w:val="0066FF"/>
            <w:rFonts w:ascii="Geist" w:hAnsi="Geist"/>
          </w:rPr>
          <w:t>https://www.wexia.digital/</w:t>
        </w:r>
      </w:hyperlink>
    </w:p>
    <w:p>
      <w:pPr>
        <w:pStyle w:val="Source"/>
        <w:keepNext/>
        <w:spacing w:before="100"/>
      </w:pPr>
      <w:r>
        <w:t>[8] GDPR - nařízení (EU) 2016/679, čl. 6, 14 a 21</w:t>
      </w:r>
    </w:p>
    <w:p>
      <w:pPr>
        <w:pStyle w:val="Source"/>
        <w:spacing w:before="100"/>
      </w:pPr>
      <w:hyperlink r:id="rId15">
        <w:r>
          <w:rPr>
            <w:color w:val="0066FF"/>
            <w:rFonts w:ascii="Geist" w:hAnsi="Geist"/>
          </w:rPr>
          <w:t>https://eur-lex.europa.eu/legal-content/CS/TXT/?uri=CELEX:32016R0679</w:t>
        </w:r>
      </w:hyperlink>
    </w:p>
    <w:p>
      <w:pPr>
        <w:spacing w:after="80" w:line="269" w:lineRule="auto"/>
      </w:pPr>
      <w:r>
        <w:t>[P1] Interní přehled STAV-FUNKCI-2026-10-05.html. Zadání a výběr firmy dodal projektový tým. Scénáře a dopis jsou autorské návrhy s podporou AI, nikoli schválené stanovisko firmy.</w:t>
      </w:r>
    </w:p>
    <w:p>
      <w:pPr>
        <w:pStyle w:val="Source"/>
        <w:keepNext w:val="0"/>
        <w:spacing w:before="100"/>
      </w:pPr>
      <w:r>
        <w:t>Studie využitelnosti / Delegating Systems s.r.o. / Delegat.ing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headerReference w:type="first" r:id="rId16"/>
      <w:pgSz w:w="11906" w:h="16838"/>
      <w:pgMar w:top="1361" w:right="1020" w:bottom="1020" w:left="102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t>DELEGAT.ING / v1.0</w:t>
      <w:tab/>
    </w:r>
    <w:fldSimple w:instr="PAGE">
      <w:r>
        <w:t>1</w:t>
      </w:r>
    </w:fldSimple>
    <w: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</w:pPr>
    <w:r>
      <w:drawing>
        <wp:inline xmlns:a="http://schemas.openxmlformats.org/drawingml/2006/main" xmlns:pic="http://schemas.openxmlformats.org/drawingml/2006/picture">
          <wp:extent cx="1296000" cy="138672"/>
          <wp:docPr id="1" name="Picture 1" descr="Ilustrace vizuálního stylu Delegat.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6000" cy="138672"/>
                  </a:xfrm>
                  <a:prstGeom prst="rect"/>
                </pic:spPr>
              </pic:pic>
            </a:graphicData>
          </a:graphic>
        </wp:inline>
      </w:drawing>
    </w:r>
    <w:r>
      <w:tab/>
      <w:t>WEXIA DIGITAL / JVTP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240" w:hanging="200"/>
      </w:pPr>
      <w:rPr>
        <w:rFonts w:ascii="Geist" w:hAnsi="Geist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78" w:lineRule="auto"/>
    </w:pPr>
    <w:rPr>
      <w:rFonts w:ascii="Geist" w:hAnsi="Geist" w:eastAsia="Geist" w:cs="Geist"/>
      <w:b w:val="0"/>
      <w:i w:val="0"/>
      <w:color w:val="0A0A0A"/>
      <w:sz w:val="21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Geist" w:hAnsi="Geist" w:eastAsia="Geist" w:cs="Geist"/>
      <w:b w:val="0"/>
      <w:i w:val="0"/>
      <w:color w:val="52525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180" w:line="259" w:lineRule="auto"/>
      <w:outlineLvl w:val="0"/>
    </w:pPr>
    <w:rPr>
      <w:rFonts w:ascii="Geist" w:hAnsi="Geist" w:eastAsia="Geist" w:cs="Geist"/>
      <w:b/>
      <w:bCs/>
      <w:i w:val="0"/>
      <w:color w:val="0A0A0A"/>
      <w:sz w:val="5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80" w:line="259" w:lineRule="auto"/>
      <w:outlineLvl w:val="1"/>
    </w:pPr>
    <w:rPr>
      <w:rFonts w:ascii="Geist" w:hAnsi="Geist" w:eastAsia="Geist" w:cs="Geist"/>
      <w:b/>
      <w:bCs/>
      <w:i w:val="0"/>
      <w:color w:val="0A0A0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59" w:lineRule="auto"/>
      <w:outlineLvl w:val="2"/>
    </w:pPr>
    <w:rPr>
      <w:rFonts w:ascii="Geist" w:hAnsi="Geist" w:eastAsia="Geist" w:cs="Geist"/>
      <w:b/>
      <w:bCs/>
      <w:i w:val="0"/>
      <w:color w:val="0A0A0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300" w:line="252" w:lineRule="auto" w:before="0"/>
      <w:contextualSpacing/>
    </w:pPr>
    <w:rPr>
      <w:rFonts w:ascii="Geist" w:hAnsi="Geist" w:eastAsia="Geist" w:cs="Geist"/>
      <w:b w:val="0"/>
      <w:i w:val="0"/>
      <w:color w:val="0A0A0A"/>
      <w:spacing w:val="5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80" w:line="288" w:lineRule="auto"/>
    </w:pPr>
    <w:rPr>
      <w:rFonts w:ascii="Geist" w:hAnsi="Geist" w:eastAsia="Geist" w:cs="Geist"/>
      <w:b w:val="0"/>
      <w:i w:val="0"/>
      <w:iCs/>
      <w:color w:val="525252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basedOn w:val="Normal"/>
    <w:pPr>
      <w:keepNext/>
      <w:widowControl/>
      <w:spacing w:before="0" w:after="140" w:line="240" w:lineRule="auto"/>
    </w:pPr>
    <w:rPr>
      <w:rFonts w:ascii="Geist" w:hAnsi="Geist" w:eastAsia="Geist" w:cs="Geist"/>
      <w:b/>
      <w:i w:val="0"/>
      <w:color w:val="0066FF"/>
      <w:sz w:val="16"/>
    </w:rPr>
  </w:style>
  <w:style w:type="paragraph" w:customStyle="1" w:styleId="Lead">
    <w:name w:val="Lead"/>
    <w:basedOn w:val="Normal"/>
    <w:pPr>
      <w:widowControl/>
      <w:spacing w:before="0" w:after="240" w:line="288" w:lineRule="auto"/>
    </w:pPr>
    <w:rPr>
      <w:rFonts w:ascii="Geist" w:hAnsi="Geist" w:eastAsia="Geist" w:cs="Geist"/>
      <w:b w:val="0"/>
      <w:i w:val="0"/>
      <w:color w:val="525252"/>
      <w:sz w:val="23"/>
    </w:rPr>
  </w:style>
  <w:style w:type="paragraph" w:customStyle="1" w:styleId="StudyBullet">
    <w:name w:val="Study Bullet"/>
    <w:basedOn w:val="Normal"/>
    <w:pPr>
      <w:widowControl/>
      <w:spacing w:before="0" w:after="80" w:line="278" w:lineRule="auto"/>
      <w:ind w:left="240" w:hanging="200"/>
    </w:pPr>
    <w:rPr>
      <w:rFonts w:ascii="Geist" w:hAnsi="Geist" w:eastAsia="Geist" w:cs="Geist"/>
      <w:b w:val="0"/>
      <w:i w:val="0"/>
      <w:color w:val="0A0A0A"/>
      <w:sz w:val="21"/>
    </w:rPr>
  </w:style>
  <w:style w:type="paragraph" w:customStyle="1" w:styleId="Source">
    <w:name w:val="Source"/>
    <w:basedOn w:val="Normal"/>
    <w:pPr>
      <w:widowControl/>
      <w:spacing w:before="180" w:after="0" w:line="269" w:lineRule="auto"/>
    </w:pPr>
    <w:rPr>
      <w:rFonts w:ascii="Geist" w:hAnsi="Geist" w:eastAsia="Geist" w:cs="Geist"/>
      <w:b w:val="0"/>
      <w:i w:val="0"/>
      <w:color w:val="525252"/>
      <w:sz w:val="15"/>
    </w:rPr>
  </w:style>
  <w:style w:type="paragraph" w:customStyle="1" w:styleId="TableBody">
    <w:name w:val="Table Body"/>
    <w:basedOn w:val="Normal"/>
    <w:pPr>
      <w:widowControl/>
      <w:spacing w:before="0" w:after="0" w:line="276" w:lineRule="auto"/>
    </w:pPr>
    <w:rPr>
      <w:rFonts w:ascii="Geist" w:hAnsi="Geist" w:eastAsia="Geist" w:cs="Geist"/>
      <w:b w:val="0"/>
      <w:i w:val="0"/>
      <w:color w:val="0A0A0A"/>
      <w:sz w:val="18"/>
    </w:rPr>
  </w:style>
  <w:style w:type="paragraph" w:customStyle="1" w:styleId="TableHeader">
    <w:name w:val="Table Header"/>
    <w:basedOn w:val="Normal"/>
    <w:pPr>
      <w:widowControl/>
      <w:spacing w:before="0" w:after="0" w:line="276" w:lineRule="auto"/>
    </w:pPr>
    <w:rPr>
      <w:rFonts w:ascii="Geist" w:hAnsi="Geist" w:eastAsia="Geist" w:cs="Geist"/>
      <w:b/>
      <w:i w:val="0"/>
      <w:color w:val="0066FF"/>
      <w:sz w:val="17"/>
    </w:rPr>
  </w:style>
  <w:style w:type="paragraph" w:customStyle="1" w:styleId="TableGap">
    <w:name w:val="Table Gap"/>
    <w:basedOn w:val="Normal"/>
    <w:pPr>
      <w:widowControl/>
      <w:spacing w:before="0" w:after="80" w:line="240" w:lineRule="auto"/>
    </w:pPr>
    <w:rPr>
      <w:rFonts w:ascii="Geist" w:hAnsi="Geist" w:eastAsia="Geist" w:cs="Geist"/>
      <w:b w:val="0"/>
      <w:i w:val="0"/>
      <w:color w:val="525252"/>
      <w:sz w:val="4"/>
    </w:rPr>
  </w:style>
  <w:style w:type="paragraph" w:customStyle="1" w:styleId="NoteTitle">
    <w:name w:val="Note Title"/>
    <w:basedOn w:val="Normal"/>
    <w:pPr>
      <w:keepNext/>
      <w:widowControl/>
      <w:spacing w:before="100" w:after="6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NoteBody">
    <w:name w:val="Note Body"/>
    <w:basedOn w:val="Normal"/>
    <w:pPr>
      <w:widowControl/>
      <w:spacing w:before="0" w:after="140" w:line="288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Title">
    <w:name w:val="Letter Title"/>
    <w:basedOn w:val="Normal"/>
    <w:pPr>
      <w:keepNext/>
      <w:widowControl/>
      <w:spacing w:before="0" w:after="120" w:line="276" w:lineRule="auto"/>
      <w:ind w:left="180" w:right="180"/>
    </w:pPr>
    <w:rPr>
      <w:rFonts w:ascii="Geist" w:hAnsi="Geist" w:eastAsia="Geist" w:cs="Geist"/>
      <w:b/>
      <w:i w:val="0"/>
      <w:color w:val="0A0A0A"/>
      <w:sz w:val="21"/>
    </w:rPr>
  </w:style>
  <w:style w:type="paragraph" w:customStyle="1" w:styleId="LetterBody">
    <w:name w:val="Letter Body"/>
    <w:basedOn w:val="Normal"/>
    <w:pPr>
      <w:widowControl/>
      <w:spacing w:before="0" w:after="100" w:line="276" w:lineRule="auto"/>
      <w:ind w:left="180" w:right="180"/>
    </w:pPr>
    <w:rPr>
      <w:rFonts w:ascii="Geist" w:hAnsi="Geist" w:eastAsia="Geist" w:cs="Geist"/>
      <w:b w:val="0"/>
      <w:i w:val="0"/>
      <w:color w:val="0A0A0A"/>
      <w:sz w:val="19"/>
    </w:rPr>
  </w:style>
  <w:style w:type="paragraph" w:customStyle="1" w:styleId="LetterKicker">
    <w:name w:val="Letter Kicker"/>
    <w:basedOn w:val="Normal"/>
    <w:pPr>
      <w:keepNext/>
      <w:widowControl/>
      <w:spacing w:before="140" w:after="80" w:line="240" w:lineRule="auto"/>
      <w:ind w:left="180" w:right="180"/>
    </w:pPr>
    <w:rPr>
      <w:rFonts w:ascii="Geist" w:hAnsi="Geist" w:eastAsia="Geist" w:cs="Geist"/>
      <w:b/>
      <w:i w:val="0"/>
      <w:color w:val="0066FF"/>
      <w:sz w:val="15"/>
    </w:rPr>
  </w:style>
  <w:style w:type="paragraph" w:customStyle="1" w:styleId="CoverMeta">
    <w:name w:val="Cover Meta"/>
    <w:basedOn w:val="Normal"/>
    <w:pPr>
      <w:widowControl/>
      <w:spacing w:before="0" w:after="120" w:line="288" w:lineRule="auto"/>
    </w:pPr>
    <w:rPr>
      <w:rFonts w:ascii="Geist" w:hAnsi="Geist" w:eastAsia="Geist" w:cs="Geist"/>
      <w:b w:val="0"/>
      <w:i w:val="0"/>
      <w:color w:val="525252"/>
      <w:sz w:val="20"/>
    </w:rPr>
  </w:style>
  <w:style w:type="paragraph" w:customStyle="1" w:styleId="CoverStats">
    <w:name w:val="Cover Stats"/>
    <w:basedOn w:val="Normal"/>
    <w:pPr>
      <w:widowControl/>
      <w:spacing w:before="0" w:after="240" w:line="288" w:lineRule="auto"/>
    </w:pPr>
    <w:rPr>
      <w:rFonts w:ascii="Geist" w:hAnsi="Geist" w:eastAsia="Geist" w:cs="Geist"/>
      <w:b/>
      <w:i w:val="0"/>
      <w:color w:val="0066FF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www.wexia.digital/" TargetMode="External"/><Relationship Id="rId15" Type="http://schemas.openxmlformats.org/officeDocument/2006/relationships/hyperlink" Target="https://eur-lex.europa.eu/legal-content/CS/TXT/?uri=CELEX:32016R0679" TargetMode="External"/><Relationship Id="rId16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Wexia Digital / Studie využitelnosti Delegat.ing</dc:title>
  <dc:subject>Samostatná případová studie / Wexia Digital / JVTP / verze 1.0</dc:subject>
  <dc:creator>Delegating Systems s.r.o.</dc:creator>
  <cp:keywords/>
  <dc:description>generated by python-docx</dc:description>
  <cp:lastModifiedBy/>
  <cp:revision>1</cp:revision>
  <cp:category/>
  <dc:language>cs-CZ</dc:language>
</cp:coreProperties>
</file>