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60"/>
      </w:pPr>
      <w:r>
        <w:drawing>
          <wp:inline xmlns:a="http://schemas.openxmlformats.org/drawingml/2006/main" xmlns:pic="http://schemas.openxmlformats.org/drawingml/2006/picture">
            <wp:extent cx="2988000" cy="319716"/>
            <wp:docPr id="1" name="Picture 1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319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Kicker"/>
      </w:pPr>
      <w:r>
        <w:t>JVTP / SAMOSTATNÁ PŘÍPADOVÁ STUDIE / 05</w:t>
      </w:r>
    </w:p>
    <w:p>
      <w:pPr>
        <w:pStyle w:val="Title"/>
      </w:pPr>
      <w:r>
        <w:t>AGI Tech</w:t>
        <w:br/>
        <w:t>Případová</w:t>
        <w:br/>
        <w:t>studie</w:t>
      </w:r>
    </w:p>
    <w:p>
      <w:pPr>
        <w:pStyle w:val="Subtitle"/>
      </w:pPr>
      <w:r>
        <w:t>Robotické platformy pro výuku, výzkum a průmysl</w:t>
      </w:r>
    </w:p>
    <w:p>
      <w:pPr>
        <w:pStyle w:val="CoverMeta"/>
      </w:pPr>
      <w:r>
        <w:t>Od zaměření technické školy</w:t>
        <w:br/>
        <w:t>k posouzení vhodné robotické platformy.</w:t>
      </w:r>
    </w:p>
    <w:p>
      <w:pPr>
        <w:pStyle w:val="CoverMeta"/>
        <w:spacing w:after="400"/>
      </w:pPr>
      <w:r>
        <w:t>Studie využitelnosti Delegat.ing</w:t>
        <w:br/>
        <w:t>pro personalizovanou B2B akvizici.</w:t>
      </w:r>
    </w:p>
    <w:p>
      <w:pPr>
        <w:spacing w:after="200"/>
      </w:pPr>
      <w:r>
        <w:drawing>
          <wp:inline xmlns:a="http://schemas.openxmlformats.org/drawingml/2006/main" xmlns:pic="http://schemas.openxmlformats.org/drawingml/2006/picture">
            <wp:extent cx="900000" cy="1619388"/>
            <wp:docPr id="2" name="Picture 2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me-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619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tats"/>
      </w:pPr>
      <w:r>
        <w:t>3 profily  /  1 kampaň  /  1 modelový dopis</w:t>
      </w:r>
    </w:p>
    <w:p>
      <w:pPr>
        <w:pStyle w:val="CoverMeta"/>
      </w:pPr>
      <w:r>
        <w:t>Zpracovatel: Delegating Systems s.r.o.</w:t>
        <w:br/>
        <w:t>Verze 1.0 / samostatný dokument</w:t>
        <w:br/>
        <w:t>Podklad pro představení projektu JVTP</w:t>
      </w:r>
    </w:p>
    <w:p>
      <w:pPr>
        <w:pStyle w:val="Kicker"/>
        <w:pageBreakBefore/>
      </w:pPr>
      <w:r>
        <w:t>01 / FIRMA A ZÁKAZNÍCI</w:t>
      </w:r>
    </w:p>
    <w:p>
      <w:pPr>
        <w:pStyle w:val="Heading1"/>
      </w:pPr>
      <w:r>
        <w:t>AGI Tech / příležitost</w:t>
      </w:r>
    </w:p>
    <w:p>
      <w:pPr>
        <w:pStyle w:val="Lead"/>
        <w:spacing w:after="160"/>
      </w:pPr>
      <w:r>
        <w:t>Jak otevřít realistický obchodní rozhovor o robotice bez přehnaných slibů schopností technologie.</w:t>
      </w:r>
    </w:p>
    <w:p>
      <w:pPr>
        <w:pStyle w:val="Heading2"/>
        <w:spacing w:before="140"/>
      </w:pPr>
      <w:r>
        <w:t>Rozsah posouzení</w:t>
      </w:r>
    </w:p>
    <w:p>
      <w:pPr>
        <w:spacing w:after="80" w:line="269" w:lineRule="auto"/>
      </w:pPr>
      <w:r>
        <w:t>Analýza vychází z veřejně prezentované nabídky firmy a popsaného modulu Outreach v Delegat.ing. Cílové profily, kampaň a přínosy jsou návrhy zpracovatele. Studie neobsahuje zákaznické rozhovory ani výsledky proběhlého pilotu; jejich ověření je navrženo v závěru.</w:t>
      </w:r>
    </w:p>
    <w:p>
      <w:pPr>
        <w:pStyle w:val="Heading2"/>
        <w:spacing w:before="140"/>
      </w:pPr>
      <w:r>
        <w:t>Doložená nabídka a navržený cíl</w:t>
      </w:r>
    </w:p>
    <w:p>
      <w:pPr>
        <w:spacing w:after="80" w:line="269" w:lineRule="auto"/>
      </w:pPr>
      <w:r>
        <w:t>AGI Tech na webu Agitech představuje dodávky, integraci a servis robotických platforem AgiBot pro průmysl, výzkum, školství a služby. Uvádí možnost předvedení a konzultace nasazení. [7] Navrženým cílem oslovení je posouzení vhodnosti konkrétního využití, nikoli přímý příslib automatizace.</w:t>
      </w:r>
    </w:p>
    <w:p>
      <w:pPr>
        <w:pStyle w:val="Heading2"/>
        <w:spacing w:before="140"/>
      </w:pPr>
      <w:r>
        <w:t>Tři modelové zákaznické profily</w:t>
      </w:r>
    </w:p>
    <w:p>
      <w:pPr>
        <w:pStyle w:val="StudyBullet"/>
        <w:numPr>
          <w:ilvl w:val="0"/>
          <w:numId w:val="10"/>
        </w:numPr>
      </w:pPr>
      <w:r>
        <w:t>Technická škola. Doložené zaměření na technické obory může odůvodnit nabídku předvedení výukové platformy. Nutné je zjistit vybavení, cíle výuky, zkušenosti pedagogů a možnosti financování. Typ školy sám nezaručuje zájem o nákup.</w:t>
      </w:r>
    </w:p>
    <w:p>
      <w:pPr>
        <w:pStyle w:val="StudyBullet"/>
        <w:numPr>
          <w:ilvl w:val="0"/>
          <w:numId w:val="10"/>
        </w:numPr>
      </w:pPr>
      <w:r>
        <w:t>Výzkumné pracoviště. Veřejně popsaný výzkum může vytvořit důvod k diskusi o platformě a vývojových nástrojích. Konkrétní kompatibilita, dokumentace, přístup k SDK a požadavky týmu se ověřují před výběrem zařízení.</w:t>
      </w:r>
    </w:p>
    <w:p>
      <w:pPr>
        <w:pStyle w:val="StudyBullet"/>
        <w:numPr>
          <w:ilvl w:val="0"/>
          <w:numId w:val="10"/>
        </w:numPr>
      </w:pPr>
      <w:r>
        <w:t>Průmyslový podnik. Doložená činnost umožní nabídnout úvodní posouzení pracovního scénáře. Z veřejných údajů nelze potvrdit bezpečnost, potřebnou spolehlivost, vhodnost manipulace ani návratnost nasazení.</w:t>
      </w:r>
    </w:p>
    <w:p>
      <w:pPr>
        <w:pStyle w:val="Heading2"/>
        <w:spacing w:before="140"/>
      </w:pPr>
      <w:r>
        <w:t>Navržená kampaň v Delegat.ing</w:t>
      </w:r>
    </w:p>
    <w:p>
      <w:pPr>
        <w:spacing w:after="80" w:line="269" w:lineRule="auto"/>
      </w:pPr>
      <w:r>
        <w:t>První pilot zaměřit na technické školy a jeden předem schválený výukový scénář. Znalostní báze obsahuje aktuální podklady k platformě a skutečně dostupný rozsah demonstrace. Rešerše doloží zaměření školy. Technik zkontroluje popis schopností a další krok před schválením dopisu.</w:t>
      </w:r>
    </w:p>
    <w:p>
      <w:pPr>
        <w:pStyle w:val="Heading2"/>
        <w:spacing w:before="140"/>
      </w:pPr>
      <w:r>
        <w:t>Očekávané přínosy</w:t>
      </w:r>
    </w:p>
    <w:p>
      <w:pPr>
        <w:pStyle w:val="StudyBullet"/>
        <w:numPr>
          <w:ilvl w:val="0"/>
          <w:numId w:val="10"/>
        </w:numPr>
      </w:pPr>
      <w:r>
        <w:t>Překlad nové technologie do tématu, kterému konkrétní organizace rozumí.</w:t>
      </w:r>
    </w:p>
    <w:p>
      <w:pPr>
        <w:pStyle w:val="StudyBullet"/>
        <w:numPr>
          <w:ilvl w:val="0"/>
          <w:numId w:val="10"/>
        </w:numPr>
      </w:pPr>
      <w:r>
        <w:t>Systematická příprava oslovení různých rolí a segmentů.</w:t>
      </w:r>
    </w:p>
    <w:p>
      <w:pPr>
        <w:pStyle w:val="StudyBullet"/>
        <w:numPr>
          <w:ilvl w:val="0"/>
          <w:numId w:val="10"/>
        </w:numPr>
      </w:pPr>
      <w:r>
        <w:t>Přehledná evidence otázek pro technickou a obchodní kvalifikaci.</w:t>
      </w:r>
    </w:p>
    <w:p>
      <w:pPr>
        <w:pStyle w:val="NoteTitle"/>
        <w:shd w:fill="F5F5F3"/>
      </w:pPr>
      <w:r>
        <w:t>Analytické posouzení</w:t>
      </w:r>
    </w:p>
    <w:p>
      <w:pPr>
        <w:pStyle w:val="NoteBody"/>
        <w:shd w:fill="F5F5F3"/>
      </w:pPr>
      <w:r>
        <w:t>Vhodné pro explorativní pilot s nízkým počtem kontaktů a silnou technickou kontrolou. Demonstrace, odborné posouzení a nákup představují odlišné výsledky.</w:t>
      </w:r>
    </w:p>
    <w:p>
      <w:pPr>
        <w:pStyle w:val="Source"/>
        <w:keepNext w:val="0"/>
        <w:spacing w:before="100"/>
      </w:pPr>
      <w:r>
        <w:t>Veřejná nabídka robotických platforem: Agitech [7]. Profily a výukový scénář jsou modelové.</w:t>
      </w:r>
    </w:p>
    <w:p>
      <w:pPr>
        <w:pStyle w:val="Kicker"/>
        <w:pageBreakBefore/>
      </w:pPr>
      <w:r>
        <w:t>02 / KONKRÉTNÍ KAMPAŇ</w:t>
      </w:r>
    </w:p>
    <w:p>
      <w:pPr>
        <w:pStyle w:val="Heading1"/>
      </w:pPr>
      <w:r>
        <w:t>AGI Tech / kampaň</w:t>
      </w:r>
    </w:p>
    <w:p>
      <w:pPr>
        <w:pStyle w:val="Lead"/>
      </w:pPr>
      <w:r>
        <w:t>Pozvánka k posouzení výukového využití robotické platformy.</w:t>
      </w:r>
    </w:p>
    <w:p>
      <w:pPr>
        <w:pStyle w:val="LetterKicker"/>
        <w:shd w:fill="F0F5FF"/>
      </w:pPr>
      <w:r>
        <w:t>MODELOVÁ UKÁZKA / HYPOTETICKÝ ADRESÁT</w:t>
      </w:r>
    </w:p>
    <w:p>
      <w:pPr>
        <w:pStyle w:val="LetterTitle"/>
        <w:shd w:fill="F0F5FF"/>
      </w:pPr>
      <w:r>
        <w:t>Robotická platforma pro technickou výuku</w:t>
      </w:r>
    </w:p>
    <w:p>
      <w:pPr>
        <w:pStyle w:val="LetterBody"/>
        <w:shd w:fill="F0F5FF"/>
      </w:pPr>
      <w:r>
        <w:t>Vážené vedení školy,</w:t>
      </w:r>
    </w:p>
    <w:p>
      <w:pPr>
        <w:pStyle w:val="LetterBody"/>
        <w:shd w:fill="F0F5FF"/>
      </w:pPr>
      <w:r>
        <w:t>obracíme se na vás s tématem využití robotických platforem v technické výuce. V Agitech dodáváme a integrujeme platformy AgiBot a připravujeme jejich předvedení podle konkrétního zadání.</w:t>
      </w:r>
    </w:p>
    <w:p>
      <w:pPr>
        <w:pStyle w:val="LetterBody"/>
        <w:shd w:fill="F0F5FF"/>
      </w:pPr>
      <w:r>
        <w:t>Pro školu může být zajímavé nejprve posoudit, zda některá platforma odpovídá zaměření výuky, vybavení a zkušenostem pedagogů. Konkrétní model a rozsah práce s ním bychom vybírali až po tomto rozhovoru.</w:t>
      </w:r>
    </w:p>
    <w:p>
      <w:pPr>
        <w:pStyle w:val="LetterBody"/>
        <w:shd w:fill="F0F5FF"/>
      </w:pPr>
      <w:r>
        <w:t>Navrhujeme krátkou konzultaci s odpovědným pedagogem nebo vedením odborné výuky. Mohli bychom společně určit témata případné demonstrace a požadované technické podklady.</w:t>
      </w:r>
    </w:p>
    <w:p>
      <w:pPr>
        <w:pStyle w:val="LetterBody"/>
        <w:shd w:fill="F0F5FF"/>
      </w:pPr>
      <w:r>
        <w:t>Pokud vás možnost posouzení zajímá, kontaktujte nás prostřednictvím www.agi-tech.cz.</w:t>
      </w:r>
    </w:p>
    <w:p>
      <w:pPr>
        <w:pStyle w:val="LetterBody"/>
        <w:shd w:fill="F0F5FF"/>
      </w:pPr>
      <w:r>
        <w:t>Tým Agitech</w:t>
      </w:r>
    </w:p>
    <w:p>
      <w:pPr>
        <w:pStyle w:val="Heading2"/>
      </w:pPr>
      <w:r>
        <w:t>Proč je oslovení personalizované</w:t>
      </w:r>
    </w:p>
    <w:p>
      <w:r>
        <w:t>Kontextem je technická výuka modelové školy. Text ponechává výběr zařízení otevřený a neuvádí konkrétní výukové výsledky, podporu SDK nebo schopnosti, které nebyly schválené pro nabízený model.</w:t>
      </w:r>
    </w:p>
    <w:p>
      <w:pPr>
        <w:pStyle w:val="Heading2"/>
      </w:pPr>
      <w:r>
        <w:t>Omezení a nevhodné použití</w:t>
      </w:r>
    </w:p>
    <w:p>
      <w:pPr>
        <w:pStyle w:val="StudyBullet"/>
        <w:numPr>
          <w:ilvl w:val="0"/>
          <w:numId w:val="10"/>
        </w:numPr>
      </w:pPr>
      <w:r>
        <w:t>Novost technologie zvyšuje riziko nepřesného nebo přehnaného popisu. Každé tvrzení potřebuje aktuální podklad.</w:t>
      </w:r>
    </w:p>
    <w:p>
      <w:pPr>
        <w:pStyle w:val="StudyBullet"/>
        <w:numPr>
          <w:ilvl w:val="0"/>
          <w:numId w:val="10"/>
        </w:numPr>
      </w:pPr>
      <w:r>
        <w:t>Vhodnost použití a dostupnost zařízení se ověřují pro konkrétní model; obecný katalog nestačí.</w:t>
      </w:r>
    </w:p>
    <w:p>
      <w:pPr>
        <w:pStyle w:val="StudyBullet"/>
        <w:numPr>
          <w:ilvl w:val="0"/>
          <w:numId w:val="10"/>
        </w:numPr>
      </w:pPr>
      <w:r>
        <w:t>Zájem o demonstraci nemusí vést k nákupu. U školy nebo výzkumu mohou rozhodovat samostatné rozpočty a harmonogram.</w:t>
      </w:r>
    </w:p>
    <w:p>
      <w:pPr>
        <w:pStyle w:val="Heading2"/>
      </w:pPr>
      <w:r>
        <w:t>Co dodat a co ověřit v pilotu</w:t>
      </w:r>
    </w:p>
    <w:p>
      <w:r>
        <w:t>AGI Tech dodá schválený scénář, podklady k modelu, podmínky předvedení a dostupnou kapacitu. Pilot zaznamená technické opravy, správnost adresáta a typ zájmu: obecný dotaz, demonstrace, odborné posouzení nebo nákupní záměr.</w:t>
      </w:r>
    </w:p>
    <w:p>
      <w:pPr>
        <w:pStyle w:val="NoteTitle"/>
        <w:shd w:fill="F5F5F3"/>
      </w:pPr>
      <w:r>
        <w:t>Rozhodnutí po první dávce</w:t>
      </w:r>
    </w:p>
    <w:p>
      <w:pPr>
        <w:pStyle w:val="NoteBody"/>
        <w:shd w:fill="F5F5F3"/>
      </w:pPr>
      <w:r>
        <w:t>Pokračovat tam, kde je prokazatelně vhodný scénář a technik zvládá kontrolu. Při neurčité nabídce nejprve doplnit podklady a oddělit vzdělávací a průmyslové použití.</w:t>
      </w:r>
    </w:p>
    <w:p>
      <w:pPr>
        <w:pStyle w:val="Source"/>
        <w:keepNext w:val="0"/>
      </w:pPr>
      <w:r>
        <w:t>Autorská modelová ukázka; adresát je hypotetický. Dopis nepotvrzuje schopnosti konkrétního modelu.</w:t>
      </w:r>
    </w:p>
    <w:p>
      <w:pPr>
        <w:pStyle w:val="Kicker"/>
        <w:pageBreakBefore/>
      </w:pPr>
      <w:r>
        <w:t>03 / PRAKTICKÝ POSTUP</w:t>
      </w:r>
    </w:p>
    <w:p>
      <w:pPr>
        <w:pStyle w:val="Heading1"/>
      </w:pPr>
      <w:r>
        <w:t>Od zadání</w:t>
        <w:br/>
        <w:t>ke schválenému výstupu</w:t>
      </w:r>
    </w:p>
    <w:p>
      <w:pPr>
        <w:pStyle w:val="Lead"/>
        <w:spacing w:after="160"/>
      </w:pPr>
      <w:r>
        <w:t>Jeden scénář, dohledatelné podklady a konkrétní lidská rozhodnutí.</w:t>
      </w:r>
    </w:p>
    <w:p>
      <w:pPr>
        <w:pStyle w:val="Heading2"/>
        <w:spacing w:before="140"/>
      </w:pPr>
      <w:r>
        <w:t>Co připravit předem</w:t>
      </w:r>
    </w:p>
    <w:p>
      <w:pPr>
        <w:spacing w:after="80" w:line="269" w:lineRule="auto"/>
      </w:pPr>
      <w:r>
        <w:t>AGI Tech dodá aktuální materiály ke konkrétní platformě, skutečně dostupný rozsah demonstrace a odpovědného technika. Zvlášť vymezí vzdělávací a průmyslové použití. Přístup k dokumentaci, vývojovým nástrojům, servisní podmínky nebo kompatibilita se uvedou jen tehdy, pokud jsou potvrzené pro nabízený model.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466"/>
        <w:gridCol w:w="7400"/>
      </w:tblGrid>
      <w:tr>
        <w:trPr>
          <w:cantSplit/>
          <w:tblHeader/>
        </w:trPr>
        <w:tc>
          <w:tcPr>
            <w:tcW w:type="dxa" w:w="2466"/>
            <w:shd w:fill="E6EFFF"/>
          </w:tcPr>
          <w:p>
            <w:pPr>
              <w:pStyle w:val="TableHeader"/>
            </w:pPr>
            <w:r>
              <w:t>Krok</w:t>
            </w:r>
          </w:p>
        </w:tc>
        <w:tc>
          <w:tcPr>
            <w:tcW w:type="dxa" w:w="7400"/>
            <w:shd w:fill="E6EFFF"/>
          </w:tcPr>
          <w:p>
            <w:pPr>
              <w:pStyle w:val="TableHeader"/>
            </w:pPr>
            <w:r>
              <w:t>Výstup a rozhodnutí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1 / Zadání nabídky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Vybrat technickou školu a jeden výukový scénář. Určit platformu nebo rozsah předběžného posouzení; neslibovat obecnou autonomní automatizaci.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2 / Výběr kontaktů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Ověřit technické zaměření školy a odpovědnou roli. Rozlišit vedení, odborného pedagoga a nákupní proces; zájem o téma neznamená rozpočet.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3 / Rešerše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Doložit obor výuky či veřejně popsaný projekt. Ponechat neznámé vybavení, zkušenosti pedagogů, plán investic a konkrétní výukové cíle.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4 / Text a kontrola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Nabídnout konzultaci o vhodnosti platformy a tématech demonstrace. Technik kontroluje všechny výroky o schopnostech a dostupných podkladech.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5 / Výstup a reakce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Schválit PDF. Reakce rozlišit na obecný dotaz, domluvenou demonstraci, odborné posouzení a nákupní záměr; jde o odlišné výsledky.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Jak se mění argument podle segmentu</w:t>
      </w:r>
    </w:p>
    <w:p>
      <w:pPr>
        <w:pStyle w:val="StudyBullet"/>
        <w:numPr>
          <w:ilvl w:val="0"/>
          <w:numId w:val="10"/>
        </w:numPr>
      </w:pPr>
      <w:r>
        <w:t>Technická škola: vhodnost pro výukové cíle, vybavení a zkušenosti pedagogů; zařízení vybrat až podle těchto podkladů.</w:t>
      </w:r>
    </w:p>
    <w:p>
      <w:pPr>
        <w:pStyle w:val="StudyBullet"/>
        <w:numPr>
          <w:ilvl w:val="0"/>
          <w:numId w:val="10"/>
        </w:numPr>
      </w:pPr>
      <w:r>
        <w:t>Výzkumné pracoviště: dokumentace, kompatibilita a vývojové nástroje; dostupnost SDK nebo oprávnění ověřit pro konkrétní model.</w:t>
      </w:r>
    </w:p>
    <w:p>
      <w:pPr>
        <w:pStyle w:val="StudyBullet"/>
        <w:numPr>
          <w:ilvl w:val="0"/>
          <w:numId w:val="10"/>
        </w:numPr>
      </w:pPr>
      <w:r>
        <w:t>Průmysl: jeden pracovní scénář a požadavky provozu; bezpečnost, spolehlivost a návratnost vyžadují samostatné posouzení.</w:t>
      </w:r>
    </w:p>
    <w:p>
      <w:pPr>
        <w:pStyle w:val="NoteTitle"/>
        <w:shd w:fill="F5F5F3"/>
      </w:pPr>
      <w:r>
        <w:t>Rozsah řešení podle interního podkladu</w:t>
      </w:r>
    </w:p>
    <w:p>
      <w:pPr>
        <w:pStyle w:val="NoteBody"/>
        <w:shd w:fill="F5F5F3"/>
      </w:pPr>
      <w:r>
        <w:t>Příprava kampaně, návrhy, schvalování a PDF jsou popsané jako implementované s lokálními kontrolami. Celý zákaznický průchod v produkci zbývá doložit. Fyzické odesílání je vypnuté; jeho uvolnění a první skutečná zásilka vyžadují samostatné ověření. [P1]</w:t>
      </w:r>
    </w:p>
    <w:p>
      <w:pPr>
        <w:pStyle w:val="Source"/>
        <w:keepNext w:val="0"/>
        <w:spacing w:before="100"/>
      </w:pPr>
      <w:r>
        <w:t>Postup je návrhem pro tuto firmu; stav produktu vychází z interního přehledu [P1].</w:t>
      </w:r>
    </w:p>
    <w:p>
      <w:pPr>
        <w:pStyle w:val="Kicker"/>
        <w:pageBreakBefore/>
      </w:pPr>
      <w:r>
        <w:t>04 / PŘÍNOSY A OMEZENÍ</w:t>
      </w:r>
    </w:p>
    <w:p>
      <w:pPr>
        <w:pStyle w:val="Heading1"/>
      </w:pPr>
      <w:r>
        <w:t>Kde vzniká hodnota</w:t>
        <w:br/>
        <w:t>a co ji může snížit</w:t>
      </w:r>
    </w:p>
    <w:p>
      <w:pPr>
        <w:pStyle w:val="Lead"/>
        <w:spacing w:after="160"/>
      </w:pPr>
      <w:r>
        <w:t>Přínos musí zahrnout kvalitu výběru, práci schvalujícího člověka i návazný obchod.</w:t>
      </w:r>
    </w:p>
    <w:p>
      <w:pPr>
        <w:pStyle w:val="Heading2"/>
        <w:spacing w:before="140"/>
      </w:pPr>
      <w:r>
        <w:t>Očekávané přínosy pro firmu</w:t>
      </w:r>
    </w:p>
    <w:p>
      <w:pPr>
        <w:pStyle w:val="StudyBullet"/>
        <w:numPr>
          <w:ilvl w:val="0"/>
          <w:numId w:val="10"/>
        </w:numPr>
      </w:pPr>
      <w:r>
        <w:t>Nová technologie se vysvětlí přes potřeby konkrétního typu organizace. Dopis může otevřít vhodnou otázku bez výčtu všech schopností katalogu.</w:t>
      </w:r>
    </w:p>
    <w:p>
      <w:pPr>
        <w:pStyle w:val="StudyBullet"/>
        <w:numPr>
          <w:ilvl w:val="0"/>
          <w:numId w:val="10"/>
        </w:numPr>
      </w:pPr>
      <w:r>
        <w:t>Obchodník získá jednotný záznam o segmentu a důvodu výběru. Technik dostane podklad, který usnadní rozhodnutí o smysluplném dalším kroku.</w:t>
      </w:r>
    </w:p>
    <w:p>
      <w:pPr>
        <w:pStyle w:val="StudyBullet"/>
        <w:numPr>
          <w:ilvl w:val="0"/>
          <w:numId w:val="10"/>
        </w:numPr>
      </w:pPr>
      <w:r>
        <w:t>Jasné oddělení demonstrace, posouzení a nákupu pomůže interpretovat reakce. Počet zvědavých dotazů se nebude zaměňovat za potvrzené zakázky.</w:t>
      </w:r>
    </w:p>
    <w:p>
      <w:pPr>
        <w:pStyle w:val="Heading2"/>
        <w:spacing w:before="140"/>
      </w:pPr>
      <w:r>
        <w:t>Rizika navrženého scénáře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171"/>
        <w:gridCol w:w="3946"/>
        <w:gridCol w:w="3749"/>
      </w:tblGrid>
      <w:tr>
        <w:trPr>
          <w:cantSplit/>
          <w:tblHeader/>
        </w:trPr>
        <w:tc>
          <w:tcPr>
            <w:tcW w:type="dxa" w:w="2171"/>
            <w:shd w:fill="E6EFFF"/>
          </w:tcPr>
          <w:p>
            <w:pPr>
              <w:pStyle w:val="TableHeader"/>
            </w:pPr>
            <w:r>
              <w:t>Riziko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Možný dopad</w:t>
            </w:r>
          </w:p>
        </w:tc>
        <w:tc>
          <w:tcPr>
            <w:tcW w:type="dxa" w:w="3749"/>
            <w:shd w:fill="E6EFFF"/>
          </w:tcPr>
          <w:p>
            <w:pPr>
              <w:pStyle w:val="TableHeader"/>
            </w:pPr>
            <w:r>
              <w:t>Jak jej omezit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Přehnaný popis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Novost technologie může vést k nepodloženým slibům.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Každou schopnost vztáhnout k potvrzenému modelu.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Nevhodné použití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Obor organizace sám nedokládá vhodný scénář nasazení.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První krok je odborné posouzení, ne příslib dodávky.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Nejasná dostupnost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Katalog nepotvrzuje rozsah demonstrace nebo podpory.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Před schválením ověřit aktuální materiály a kapacitu.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Zájem versus nákup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Ukázka může zaujmout bez konkrétního investičního záměru.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Evidovat typ zájmu a navazující podmínky odděleně.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Hranice vhodného použití</w:t>
      </w:r>
    </w:p>
    <w:p>
      <w:pPr>
        <w:spacing w:after="80" w:line="269" w:lineRule="auto"/>
      </w:pPr>
      <w:r>
        <w:t>Dopis nepotvrzuje použitelnost robota v reálném prostředí. U průmyslového scénáře nevypovídá o bezpečnosti, spolehlivosti ani ekonomice nasazení. Pro školu neprokazuje výukový přínos. Pokud AGI Tech nemá potvrzené podklady a dostupný scénář demonstrace, nejprve doplnit nabídku a teprve poté připravovat oslovení.</w:t>
      </w:r>
    </w:p>
    <w:p>
      <w:pPr>
        <w:pStyle w:val="NoteTitle"/>
        <w:shd w:fill="F5F5F3"/>
      </w:pPr>
      <w:r>
        <w:t>Podmínka použití dat</w:t>
      </w:r>
    </w:p>
    <w:p>
      <w:pPr>
        <w:pStyle w:val="NoteBody"/>
        <w:shd w:fill="F5F5F3"/>
      </w:pPr>
      <w:r>
        <w:t>Veřejná dostupnost údajů sama nepotvrzuje oprávnění k použití. U osobních údajů je potřeba odpovídající právní základ, informační povinnosti a respektování námitek proti přímému marketingu. Komerční data lze používat jen podle skutečného přístupu a licenčních podmínek. [8]</w:t>
      </w:r>
    </w:p>
    <w:p>
      <w:pPr>
        <w:pStyle w:val="Source"/>
        <w:keepNext w:val="0"/>
        <w:spacing w:before="100"/>
      </w:pPr>
      <w:r>
        <w:t>Přínosy a rizika jsou analytické závěry. Právní rámec osobních údajů: GDPR, čl. 6, 14 a 21 [8].</w:t>
      </w:r>
    </w:p>
    <w:p>
      <w:pPr>
        <w:pStyle w:val="Kicker"/>
        <w:pageBreakBefore/>
      </w:pPr>
      <w:r>
        <w:t>05 / EKONOMICKÝ MODEL</w:t>
      </w:r>
    </w:p>
    <w:p>
      <w:pPr>
        <w:pStyle w:val="Heading1"/>
      </w:pPr>
      <w:r>
        <w:t>Co se musí</w:t>
        <w:br/>
        <w:t>vyplatit při přípravě</w:t>
      </w:r>
    </w:p>
    <w:p>
      <w:pPr>
        <w:pStyle w:val="Lead"/>
        <w:spacing w:after="160"/>
      </w:pPr>
      <w:r>
        <w:t>Čas, výdaj kampaně a obchodní výsledek se vyhodnocují odděleně.</w:t>
      </w:r>
    </w:p>
    <w:p>
      <w:pPr>
        <w:pStyle w:val="NoteTitle"/>
        <w:shd w:fill="F5F5F3"/>
      </w:pPr>
      <w:r>
        <w:t>Ilustrační předpoklady</w:t>
      </w:r>
    </w:p>
    <w:p>
      <w:pPr>
        <w:pStyle w:val="NoteBody"/>
        <w:shd w:fill="F5F5F3"/>
      </w:pPr>
      <w:r>
        <w:t>Všechny částky a časy na této straně jsou zvolené modelové vstupy. Nejde o naměřené výsledky, ceník Delegat.ing, nabídku poštovního poskytovatele ani potvrzené náklady firmy.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5920"/>
        <w:gridCol w:w="3946"/>
      </w:tblGrid>
      <w:tr>
        <w:trPr>
          <w:cantSplit/>
          <w:tblHeader/>
        </w:trPr>
        <w:tc>
          <w:tcPr>
            <w:tcW w:type="dxa" w:w="5920"/>
            <w:shd w:fill="E6EFFF"/>
          </w:tcPr>
          <w:p>
            <w:pPr>
              <w:pStyle w:val="TableHeader"/>
            </w:pPr>
            <w:r>
              <w:t>Předpoklad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Modelová hodnota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Platforma / rozsah nové kampaně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2 500 Kč / 50 kontaktů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Externí náklad na jedno oslovení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40 Kč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Ruční příprava / příprava s AI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35 / 22 minut na kontakt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Hodnota času pracovníka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900 Kč za hodinu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Co zahrnout do měření</w:t>
      </w:r>
    </w:p>
    <w:p>
      <w:pPr>
        <w:spacing w:after="80" w:line="269" w:lineRule="auto"/>
      </w:pPr>
      <w:r>
        <w:t>Model počítá s delší přípravou a kontrolou robotickým specialistou. Vyšší zvolená hodnota času není ceníkem AGI Tech. Cílem je ukázat, jak citlivý je výsledek na odborné opravy a kvalitu produktových podkladů.</w:t>
      </w:r>
    </w:p>
    <w:p>
      <w:pPr>
        <w:spacing w:after="80" w:line="269" w:lineRule="auto"/>
      </w:pPr>
      <w:r>
        <w:t>Externí výdaj modelové nové kampaně je 4 500 Kč před interní prací. Při stejné ruční a AI listovní kampani se shodný náklad na oslovení vyruší. Model uvolní čas v rozsahu 10,83 h, tedy 9 750 Kč časové hodnoty; po odečtení platformy je rozdíl 7 250 Kč.</w:t>
      </w:r>
    </w:p>
    <w:p>
      <w:pPr>
        <w:pStyle w:val="Heading2"/>
        <w:spacing w:before="140"/>
      </w:pPr>
      <w:r>
        <w:t>Citlivost na čas s AI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3946"/>
        <w:gridCol w:w="5920"/>
      </w:tblGrid>
      <w:tr>
        <w:trPr>
          <w:cantSplit/>
          <w:tblHeader/>
        </w:trPr>
        <w:tc>
          <w:tcPr>
            <w:tcW w:type="dxa" w:w="3946"/>
            <w:shd w:fill="E6EFFF"/>
          </w:tcPr>
          <w:p>
            <w:pPr>
              <w:pStyle w:val="TableHeader"/>
            </w:pPr>
            <w:r>
              <w:t>Celkový čas s AI</w:t>
            </w:r>
          </w:p>
        </w:tc>
        <w:tc>
          <w:tcPr>
            <w:tcW w:type="dxa" w:w="5920"/>
            <w:shd w:fill="E6EFFF"/>
          </w:tcPr>
          <w:p>
            <w:pPr>
              <w:pStyle w:val="TableHeader"/>
            </w:pPr>
            <w:r>
              <w:t>Časová hodnota minus platforma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22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7 250 Kč</w:t>
            </w:r>
          </w:p>
        </w:tc>
      </w:tr>
      <w:tr>
        <w:trPr>
          <w:cantSplit/>
        </w:trPr>
        <w:tc>
          <w:tcPr>
            <w:tcW w:type="dxa" w:w="3946"/>
            <w:shd w:fill="FAFAF9"/>
          </w:tcPr>
          <w:p>
            <w:pPr>
              <w:pStyle w:val="TableBody"/>
            </w:pPr>
            <w:r>
              <w:t>26 min / kontakt</w:t>
            </w:r>
          </w:p>
        </w:tc>
        <w:tc>
          <w:tcPr>
            <w:tcW w:type="dxa" w:w="5920"/>
            <w:shd w:fill="FAFAF9"/>
          </w:tcPr>
          <w:p>
            <w:pPr>
              <w:pStyle w:val="TableBody"/>
            </w:pPr>
            <w:r>
              <w:t>4 250 Kč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30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1 250 Kč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Při uvedených předpokladech je hranice vyrovnání přibližně 31,7 minuty na kontakt. Výpočet musí zahrnout kontrolu i opravy; počáteční nastavení se sleduje zvlášť.</w:t>
      </w:r>
    </w:p>
    <w:p>
      <w:pPr>
        <w:pStyle w:val="Heading2"/>
        <w:spacing w:before="140"/>
      </w:pPr>
      <w:r>
        <w:t>Jak posoudit obchodní přínos</w:t>
      </w:r>
    </w:p>
    <w:p>
      <w:pPr>
        <w:spacing w:after="80" w:line="269" w:lineRule="auto"/>
      </w:pPr>
      <w:r>
        <w:t>Uvolněný čas představuje kapacitu, nikoli automaticky hotovostní příjem. Návratnost nové akviziční kampaně se posuzuje proti příspěvku skutečně získané zakázky po variabilních nákladech. Úplný náklad zahrne platformu, oslovení, interní přípravu i navazující obchodní práci.</w:t>
      </w:r>
    </w:p>
    <w:p>
      <w:pPr>
        <w:pStyle w:val="Source"/>
        <w:keepNext w:val="0"/>
        <w:spacing w:before="100"/>
      </w:pPr>
      <w:r>
        <w:t>Autorský model pro tuto případovou studii. Skutečné vstupy a výsledky se doplní při ověření.</w:t>
      </w:r>
    </w:p>
    <w:p>
      <w:pPr>
        <w:pStyle w:val="Kicker"/>
        <w:pageBreakBefore/>
      </w:pPr>
      <w:r>
        <w:t>06 / OVĚŘENÍ A ZÁVĚR</w:t>
      </w:r>
    </w:p>
    <w:p>
      <w:pPr>
        <w:pStyle w:val="Heading1"/>
      </w:pPr>
      <w:r>
        <w:t>Jak ověřit</w:t>
        <w:br/>
        <w:t>navržené využití</w:t>
      </w:r>
    </w:p>
    <w:p>
      <w:pPr>
        <w:pStyle w:val="Lead"/>
        <w:spacing w:after="160"/>
      </w:pPr>
      <w:r>
        <w:t>Malý budoucí pilot má potvrdit kvalitu a náročnost postupu; nejde o záznam proběhlého testování.</w:t>
      </w:r>
    </w:p>
    <w:p>
      <w:pPr>
        <w:spacing w:after="80" w:line="269" w:lineRule="auto"/>
      </w:pPr>
      <w:r>
        <w:t>Začít deseti kontakty v simulaci. Po schválení nabídky, podkladů a obsahu lze samostatně uvolnit například pět skutečných dopisů. První reakce posoudit po 30 dnech, pozdější výsledky evidovat dál. Simulace se do skutečného oslovení nezapočítává.</w:t>
      </w:r>
    </w:p>
    <w:p>
      <w:pPr>
        <w:spacing w:after="80" w:line="269" w:lineRule="auto"/>
      </w:pPr>
      <w:r>
        <w:t>V první dávce používat jeden výukový scénář a podklady ke schválené platformě. Specialista zapisuje každou opravu schopností, dostupnosti nebo nabídnutého dalšího kroku. U reakcí ověřit roli, výukový cíl a připravenost dodat informace pro smysluplné předvedení.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664"/>
        <w:gridCol w:w="7202"/>
      </w:tblGrid>
      <w:tr>
        <w:trPr>
          <w:cantSplit/>
          <w:tblHeader/>
        </w:trPr>
        <w:tc>
          <w:tcPr>
            <w:tcW w:type="dxa" w:w="2664"/>
            <w:shd w:fill="E6EFFF"/>
          </w:tcPr>
          <w:p>
            <w:pPr>
              <w:pStyle w:val="TableHeader"/>
            </w:pPr>
            <w:r>
              <w:t>Ukazatel</w:t>
            </w:r>
          </w:p>
        </w:tc>
        <w:tc>
          <w:tcPr>
            <w:tcW w:type="dxa" w:w="7202"/>
            <w:shd w:fill="E6EFFF"/>
          </w:tcPr>
          <w:p>
            <w:pPr>
              <w:pStyle w:val="TableHeader"/>
            </w:pPr>
            <w:r>
              <w:t>Co zaznamenat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Relevance a správnost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Vhodné profily / všechny posouzené profily; zvlášť počet a závažnost faktických chyb.</w:t>
            </w:r>
          </w:p>
        </w:tc>
      </w:tr>
      <w:tr>
        <w:trPr>
          <w:cantSplit/>
        </w:trPr>
        <w:tc>
          <w:tcPr>
            <w:tcW w:type="dxa" w:w="2664"/>
            <w:shd w:fill="FAFAF9"/>
          </w:tcPr>
          <w:p>
            <w:pPr>
              <w:pStyle w:val="TableBody"/>
            </w:pPr>
            <w:r>
              <w:t>Text a čas přípravy</w:t>
            </w:r>
          </w:p>
        </w:tc>
        <w:tc>
          <w:tcPr>
            <w:tcW w:type="dxa" w:w="7202"/>
            <w:shd w:fill="FAFAF9"/>
          </w:tcPr>
          <w:p>
            <w:pPr>
              <w:pStyle w:val="TableBody"/>
            </w:pPr>
            <w:r>
              <w:t>Návrhy bez obsahové úpravy / posouzené návrhy; celkový čas rešerše, návrhu, kontroly a oprav.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Kvalifikovaná reakce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Rozhovor s odpovědným pedagogem nebo vedením odborné výuky o cílech, vybavení a požadovaném rozsahu demonstrace. Pouhá zvědavost na robota nebo návštěva QR stránky tuto definici nesplňuje.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Pracovní podmínka pokračování: alespoň osm z deseti profilů zákazník označí za vhodné, žádný finální text nemá kritickou věcnou chybu a celkový čas je přijatelný proti ručnímu postupu. Prahy jsou návrhem k potvrzení firmou. Malý vzorek neumožňuje spolehlivý odhad konverzí trhu.</w:t>
      </w:r>
    </w:p>
    <w:p>
      <w:pPr>
        <w:pStyle w:val="NoteTitle"/>
        <w:shd w:fill="F5F5F3"/>
      </w:pPr>
      <w:r>
        <w:t>Celkové analytické doporučení</w:t>
      </w:r>
    </w:p>
    <w:p>
      <w:pPr>
        <w:pStyle w:val="NoteBody"/>
        <w:shd w:fill="F5F5F3"/>
      </w:pPr>
      <w:r>
        <w:t>AGI Tech může Delegat.ing využít pro systematické otevření realistických rozhovorů o robotice. Doporučujeme malý vzdělávací segment s výraznou technickou kontrolou. Rozšíření má vycházet z ověřené relevance scénáře a zvládnutelnosti odborné práce; demonstrace se vyhodnotí odděleně od nákupu.</w:t>
      </w:r>
    </w:p>
    <w:p>
      <w:pPr>
        <w:pStyle w:val="Heading2"/>
        <w:spacing w:before="140"/>
      </w:pPr>
      <w:r>
        <w:t>Podklady samostatné studie</w:t>
      </w:r>
    </w:p>
    <w:p>
      <w:pPr>
        <w:pStyle w:val="Source"/>
        <w:keepNext/>
        <w:spacing w:before="100"/>
      </w:pPr>
      <w:r>
        <w:t>[7] Agitech - portfolio robotických platforem</w:t>
      </w:r>
    </w:p>
    <w:p>
      <w:pPr>
        <w:pStyle w:val="Source"/>
        <w:spacing w:before="100"/>
      </w:pPr>
      <w:hyperlink r:id="rId14">
        <w:r>
          <w:rPr>
            <w:color w:val="0066FF"/>
            <w:rFonts w:ascii="Geist" w:hAnsi="Geist"/>
          </w:rPr>
          <w:t>https://www.agi-tech.cz/roboti.html</w:t>
        </w:r>
      </w:hyperlink>
    </w:p>
    <w:p>
      <w:pPr>
        <w:pStyle w:val="Source"/>
        <w:keepNext/>
        <w:spacing w:before="100"/>
      </w:pPr>
      <w:r>
        <w:t>[8] GDPR - nařízení (EU) 2016/679, čl. 6, 14 a 21</w:t>
      </w:r>
    </w:p>
    <w:p>
      <w:pPr>
        <w:pStyle w:val="Source"/>
        <w:spacing w:before="100"/>
      </w:pPr>
      <w:hyperlink r:id="rId15">
        <w:r>
          <w:rPr>
            <w:color w:val="0066FF"/>
            <w:rFonts w:ascii="Geist" w:hAnsi="Geist"/>
          </w:rPr>
          <w:t>https://eur-lex.europa.eu/legal-content/CS/TXT/?uri=CELEX:32016R0679</w:t>
        </w:r>
      </w:hyperlink>
    </w:p>
    <w:p>
      <w:pPr>
        <w:spacing w:after="80" w:line="269" w:lineRule="auto"/>
      </w:pPr>
      <w:r>
        <w:t>[P1] Interní přehled STAV-FUNKCI-2026-10-05.html. Zadání a výběr firmy dodal projektový tým. Scénáře a dopis jsou autorské návrhy s podporou AI, nikoli schválené stanovisko firmy.</w:t>
      </w:r>
    </w:p>
    <w:p>
      <w:pPr>
        <w:pStyle w:val="Source"/>
        <w:keepNext w:val="0"/>
        <w:spacing w:before="100"/>
      </w:pPr>
      <w:r>
        <w:t>Studie využitelnosti / Delegating Systems s.r.o. / Delegat.ing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headerReference w:type="first" r:id="rId16"/>
      <w:pgSz w:w="11906" w:h="16838"/>
      <w:pgMar w:top="1361" w:right="1020" w:bottom="1020" w:left="102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</w:pPr>
    <w:r>
      <w:drawing>
        <wp:inline xmlns:a="http://schemas.openxmlformats.org/drawingml/2006/main" xmlns:pic="http://schemas.openxmlformats.org/drawingml/2006/picture">
          <wp:extent cx="1296000" cy="138672"/>
          <wp:docPr id="1" name="Picture 1" descr="Ilustrace vizuálního stylu Delegat.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6000" cy="138672"/>
                  </a:xfrm>
                  <a:prstGeom prst="rect"/>
                </pic:spPr>
              </pic:pic>
            </a:graphicData>
          </a:graphic>
        </wp:inline>
      </w:drawing>
    </w:r>
    <w:r>
      <w:tab/>
      <w:t>AGI TECH / JVTP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240" w:hanging="200"/>
      </w:pPr>
      <w:rPr>
        <w:rFonts w:ascii="Geist" w:hAnsi="Geist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78" w:lineRule="auto"/>
    </w:pPr>
    <w:rPr>
      <w:rFonts w:ascii="Geist" w:hAnsi="Geist" w:eastAsia="Geist" w:cs="Geist"/>
      <w:b w:val="0"/>
      <w:i w:val="0"/>
      <w:color w:val="0A0A0A"/>
      <w:sz w:val="21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180" w:line="259" w:lineRule="auto"/>
      <w:outlineLvl w:val="0"/>
    </w:pPr>
    <w:rPr>
      <w:rFonts w:ascii="Geist" w:hAnsi="Geist" w:eastAsia="Geist" w:cs="Geist"/>
      <w:b/>
      <w:bCs/>
      <w:i w:val="0"/>
      <w:color w:val="0A0A0A"/>
      <w:sz w:val="5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80" w:line="259" w:lineRule="auto"/>
      <w:outlineLvl w:val="1"/>
    </w:pPr>
    <w:rPr>
      <w:rFonts w:ascii="Geist" w:hAnsi="Geist" w:eastAsia="Geist" w:cs="Geist"/>
      <w:b/>
      <w:bCs/>
      <w:i w:val="0"/>
      <w:color w:val="0A0A0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 w:line="259" w:lineRule="auto"/>
      <w:outlineLvl w:val="2"/>
    </w:pPr>
    <w:rPr>
      <w:rFonts w:ascii="Geist" w:hAnsi="Geist" w:eastAsia="Geist" w:cs="Geist"/>
      <w:b/>
      <w:bCs/>
      <w:i w:val="0"/>
      <w:color w:val="0A0A0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300" w:line="252" w:lineRule="auto" w:before="0"/>
      <w:contextualSpacing/>
    </w:pPr>
    <w:rPr>
      <w:rFonts w:ascii="Geist" w:hAnsi="Geist" w:eastAsia="Geist" w:cs="Geist"/>
      <w:b w:val="0"/>
      <w:i w:val="0"/>
      <w:color w:val="0A0A0A"/>
      <w:spacing w:val="5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80" w:line="288" w:lineRule="auto"/>
    </w:pPr>
    <w:rPr>
      <w:rFonts w:ascii="Geist" w:hAnsi="Geist" w:eastAsia="Geist" w:cs="Geist"/>
      <w:b w:val="0"/>
      <w:i w:val="0"/>
      <w:iCs/>
      <w:color w:val="525252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basedOn w:val="Normal"/>
    <w:pPr>
      <w:keepNext/>
      <w:widowControl/>
      <w:spacing w:before="0" w:after="140" w:line="240" w:lineRule="auto"/>
    </w:pPr>
    <w:rPr>
      <w:rFonts w:ascii="Geist" w:hAnsi="Geist" w:eastAsia="Geist" w:cs="Geist"/>
      <w:b/>
      <w:i w:val="0"/>
      <w:color w:val="0066FF"/>
      <w:sz w:val="16"/>
    </w:rPr>
  </w:style>
  <w:style w:type="paragraph" w:customStyle="1" w:styleId="Lead">
    <w:name w:val="Lead"/>
    <w:basedOn w:val="Normal"/>
    <w:pPr>
      <w:widowControl/>
      <w:spacing w:before="0" w:after="240" w:line="288" w:lineRule="auto"/>
    </w:pPr>
    <w:rPr>
      <w:rFonts w:ascii="Geist" w:hAnsi="Geist" w:eastAsia="Geist" w:cs="Geist"/>
      <w:b w:val="0"/>
      <w:i w:val="0"/>
      <w:color w:val="525252"/>
      <w:sz w:val="23"/>
    </w:rPr>
  </w:style>
  <w:style w:type="paragraph" w:customStyle="1" w:styleId="StudyBullet">
    <w:name w:val="Study Bullet"/>
    <w:basedOn w:val="Normal"/>
    <w:pPr>
      <w:widowControl/>
      <w:spacing w:before="0" w:after="80" w:line="278" w:lineRule="auto"/>
      <w:ind w:left="240" w:hanging="200"/>
    </w:pPr>
    <w:rPr>
      <w:rFonts w:ascii="Geist" w:hAnsi="Geist" w:eastAsia="Geist" w:cs="Geist"/>
      <w:b w:val="0"/>
      <w:i w:val="0"/>
      <w:color w:val="0A0A0A"/>
      <w:sz w:val="21"/>
    </w:rPr>
  </w:style>
  <w:style w:type="paragraph" w:customStyle="1" w:styleId="Source">
    <w:name w:val="Source"/>
    <w:basedOn w:val="Normal"/>
    <w:pPr>
      <w:widowControl/>
      <w:spacing w:before="180" w:after="0" w:line="269" w:lineRule="auto"/>
    </w:pPr>
    <w:rPr>
      <w:rFonts w:ascii="Geist" w:hAnsi="Geist" w:eastAsia="Geist" w:cs="Geist"/>
      <w:b w:val="0"/>
      <w:i w:val="0"/>
      <w:color w:val="525252"/>
      <w:sz w:val="15"/>
    </w:rPr>
  </w:style>
  <w:style w:type="paragraph" w:customStyle="1" w:styleId="TableBody">
    <w:name w:val="Table Body"/>
    <w:basedOn w:val="Normal"/>
    <w:pPr>
      <w:widowControl/>
      <w:spacing w:before="0" w:after="0" w:line="276" w:lineRule="auto"/>
    </w:pPr>
    <w:rPr>
      <w:rFonts w:ascii="Geist" w:hAnsi="Geist" w:eastAsia="Geist" w:cs="Geist"/>
      <w:b w:val="0"/>
      <w:i w:val="0"/>
      <w:color w:val="0A0A0A"/>
      <w:sz w:val="18"/>
    </w:rPr>
  </w:style>
  <w:style w:type="paragraph" w:customStyle="1" w:styleId="TableHeader">
    <w:name w:val="Table Header"/>
    <w:basedOn w:val="Normal"/>
    <w:pPr>
      <w:widowControl/>
      <w:spacing w:before="0" w:after="0" w:line="276" w:lineRule="auto"/>
    </w:pPr>
    <w:rPr>
      <w:rFonts w:ascii="Geist" w:hAnsi="Geist" w:eastAsia="Geist" w:cs="Geist"/>
      <w:b/>
      <w:i w:val="0"/>
      <w:color w:val="0066FF"/>
      <w:sz w:val="17"/>
    </w:rPr>
  </w:style>
  <w:style w:type="paragraph" w:customStyle="1" w:styleId="TableGap">
    <w:name w:val="Table Gap"/>
    <w:basedOn w:val="Normal"/>
    <w:pPr>
      <w:widowControl/>
      <w:spacing w:before="0" w:after="80" w:line="240" w:lineRule="auto"/>
    </w:pPr>
    <w:rPr>
      <w:rFonts w:ascii="Geist" w:hAnsi="Geist" w:eastAsia="Geist" w:cs="Geist"/>
      <w:b w:val="0"/>
      <w:i w:val="0"/>
      <w:color w:val="525252"/>
      <w:sz w:val="4"/>
    </w:rPr>
  </w:style>
  <w:style w:type="paragraph" w:customStyle="1" w:styleId="NoteTitle">
    <w:name w:val="Note Title"/>
    <w:basedOn w:val="Normal"/>
    <w:pPr>
      <w:keepNext/>
      <w:widowControl/>
      <w:spacing w:before="100" w:after="6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NoteBody">
    <w:name w:val="Note Body"/>
    <w:basedOn w:val="Normal"/>
    <w:pPr>
      <w:widowControl/>
      <w:spacing w:before="0" w:after="140" w:line="288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Title">
    <w:name w:val="Letter Title"/>
    <w:basedOn w:val="Normal"/>
    <w:pPr>
      <w:keepNext/>
      <w:widowControl/>
      <w:spacing w:before="0" w:after="12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LetterBody">
    <w:name w:val="Letter Body"/>
    <w:basedOn w:val="Normal"/>
    <w:pPr>
      <w:widowControl/>
      <w:spacing w:before="0" w:after="100" w:line="276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Kicker">
    <w:name w:val="Letter Kicker"/>
    <w:basedOn w:val="Normal"/>
    <w:pPr>
      <w:keepNext/>
      <w:widowControl/>
      <w:spacing w:before="140" w:after="80" w:line="240" w:lineRule="auto"/>
      <w:ind w:left="180" w:right="180"/>
    </w:pPr>
    <w:rPr>
      <w:rFonts w:ascii="Geist" w:hAnsi="Geist" w:eastAsia="Geist" w:cs="Geist"/>
      <w:b/>
      <w:i w:val="0"/>
      <w:color w:val="0066FF"/>
      <w:sz w:val="15"/>
    </w:rPr>
  </w:style>
  <w:style w:type="paragraph" w:customStyle="1" w:styleId="CoverMeta">
    <w:name w:val="Cover Meta"/>
    <w:basedOn w:val="Normal"/>
    <w:pPr>
      <w:widowControl/>
      <w:spacing w:before="0" w:after="120" w:line="288" w:lineRule="auto"/>
    </w:pPr>
    <w:rPr>
      <w:rFonts w:ascii="Geist" w:hAnsi="Geist" w:eastAsia="Geist" w:cs="Geist"/>
      <w:b w:val="0"/>
      <w:i w:val="0"/>
      <w:color w:val="525252"/>
      <w:sz w:val="20"/>
    </w:rPr>
  </w:style>
  <w:style w:type="paragraph" w:customStyle="1" w:styleId="CoverStats">
    <w:name w:val="Cover Stats"/>
    <w:basedOn w:val="Normal"/>
    <w:pPr>
      <w:widowControl/>
      <w:spacing w:before="0" w:after="240" w:line="288" w:lineRule="auto"/>
    </w:pPr>
    <w:rPr>
      <w:rFonts w:ascii="Geist" w:hAnsi="Geist" w:eastAsia="Geist" w:cs="Geist"/>
      <w:b/>
      <w:i w:val="0"/>
      <w:color w:val="0066FF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hyperlink" Target="https://www.agi-tech.cz/roboti.html" TargetMode="External"/><Relationship Id="rId15" Type="http://schemas.openxmlformats.org/officeDocument/2006/relationships/hyperlink" Target="https://eur-lex.europa.eu/legal-content/CS/TXT/?uri=CELEX:32016R0679" TargetMode="External"/><Relationship Id="rId16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AGI Tech / Studie využitelnosti Delegat.ing</dc:title>
  <dc:subject>Samostatná případová studie / AGI Tech / JVTP / verze 1.0</dc:subject>
  <dc:creator>Delegating Systems s.r.o.</dc:creator>
  <cp:keywords/>
  <dc:description>generated by python-docx</dc:description>
  <cp:lastModifiedBy/>
  <cp:revision>1</cp:revision>
  <cp:category/>
  <dc:language>cs-CZ</dc:language>
</cp:coreProperties>
</file>